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F23" w:rsidRPr="00702954" w:rsidRDefault="00216F23" w:rsidP="00216F23">
      <w:pPr>
        <w:keepNext/>
        <w:tabs>
          <w:tab w:val="left" w:pos="-1440"/>
        </w:tabs>
        <w:spacing w:after="120"/>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NOTICE OF INTENT</w:t>
      </w:r>
    </w:p>
    <w:p w:rsidR="00216F23" w:rsidRPr="00702954" w:rsidRDefault="00216F23" w:rsidP="00216F23">
      <w:pPr>
        <w:keepNext/>
        <w:jc w:val="center"/>
        <w:rPr>
          <w:rFonts w:ascii="Times New Roman" w:eastAsia="Times New Roman" w:hAnsi="Times New Roman" w:cs="Times New Roman"/>
          <w:b/>
          <w:noProof/>
          <w:sz w:val="20"/>
          <w:szCs w:val="20"/>
        </w:rPr>
      </w:pPr>
      <w:r w:rsidRPr="00702954">
        <w:rPr>
          <w:rFonts w:ascii="Times New Roman" w:eastAsia="Times New Roman" w:hAnsi="Times New Roman" w:cs="Times New Roman"/>
          <w:b/>
          <w:noProof/>
          <w:sz w:val="20"/>
          <w:szCs w:val="20"/>
        </w:rPr>
        <w:t>Board of Elementary and Secondary Education</w:t>
      </w:r>
    </w:p>
    <w:p w:rsidR="00216F23" w:rsidRPr="00702954" w:rsidRDefault="00216F23" w:rsidP="00216F23">
      <w:pPr>
        <w:keepNext/>
        <w:jc w:val="center"/>
        <w:rPr>
          <w:rFonts w:ascii="Times New Roman" w:eastAsia="Times New Roman" w:hAnsi="Times New Roman" w:cs="Times New Roman"/>
          <w:noProof/>
          <w:sz w:val="20"/>
          <w:szCs w:val="20"/>
        </w:rPr>
      </w:pPr>
    </w:p>
    <w:p w:rsidR="00577041" w:rsidRDefault="00577041" w:rsidP="00577041">
      <w:pPr>
        <w:keepNext/>
        <w:jc w:val="center"/>
        <w:rPr>
          <w:rFonts w:ascii="Times New Roman" w:eastAsia="Times New Roman" w:hAnsi="Times New Roman" w:cs="Times New Roman"/>
          <w:i/>
          <w:noProof/>
          <w:sz w:val="20"/>
          <w:szCs w:val="20"/>
        </w:rPr>
      </w:pPr>
      <w:r>
        <w:rPr>
          <w:rFonts w:ascii="Times New Roman" w:eastAsia="Times New Roman" w:hAnsi="Times New Roman" w:cs="Times New Roman"/>
          <w:i/>
          <w:noProof/>
          <w:sz w:val="20"/>
          <w:szCs w:val="20"/>
        </w:rPr>
        <w:t>Bulletin 996—Standards for Approval of Teacher and/or Educational Leader Preparation Programs</w:t>
      </w:r>
    </w:p>
    <w:p w:rsidR="00577041" w:rsidRPr="00702954" w:rsidRDefault="00577041" w:rsidP="00577041">
      <w:pPr>
        <w:keepNext/>
        <w:jc w:val="center"/>
        <w:rPr>
          <w:rFonts w:ascii="Times New Roman" w:eastAsia="Times New Roman" w:hAnsi="Times New Roman" w:cs="Times New Roman"/>
          <w:i/>
          <w:noProof/>
          <w:sz w:val="20"/>
          <w:szCs w:val="20"/>
        </w:rPr>
      </w:pPr>
      <w:r>
        <w:rPr>
          <w:rFonts w:ascii="Times New Roman" w:eastAsia="Times New Roman" w:hAnsi="Times New Roman" w:cs="Times New Roman"/>
          <w:i/>
          <w:noProof/>
          <w:sz w:val="20"/>
          <w:szCs w:val="20"/>
        </w:rPr>
        <w:t>Bulletin 746—Louisiana Standards for State Certification of School Personnel</w:t>
      </w:r>
    </w:p>
    <w:p w:rsidR="00577041" w:rsidRPr="00702954" w:rsidRDefault="00577041" w:rsidP="00577041">
      <w:pPr>
        <w:keepNext/>
        <w:jc w:val="center"/>
        <w:rPr>
          <w:rFonts w:ascii="Times New Roman" w:eastAsia="Times New Roman" w:hAnsi="Times New Roman" w:cs="Times New Roman"/>
          <w:bCs/>
          <w:noProof/>
          <w:sz w:val="20"/>
          <w:szCs w:val="20"/>
        </w:rPr>
      </w:pPr>
      <w:r>
        <w:rPr>
          <w:rFonts w:ascii="Times New Roman" w:eastAsia="Times New Roman" w:hAnsi="Times New Roman" w:cs="Times New Roman"/>
          <w:noProof/>
          <w:sz w:val="20"/>
          <w:szCs w:val="20"/>
        </w:rPr>
        <w:t>Teacher Preparation and Certification</w:t>
      </w:r>
    </w:p>
    <w:p w:rsidR="00577041" w:rsidRDefault="00577041" w:rsidP="00577041">
      <w:pPr>
        <w:keepNext/>
        <w:jc w:val="center"/>
        <w:rPr>
          <w:rFonts w:ascii="Times New Roman" w:eastAsia="Times New Roman" w:hAnsi="Times New Roman" w:cs="Times New Roman"/>
          <w:bCs/>
          <w:noProof/>
          <w:sz w:val="20"/>
          <w:szCs w:val="20"/>
        </w:rPr>
      </w:pPr>
      <w:r w:rsidRPr="00702954">
        <w:rPr>
          <w:rFonts w:ascii="Times New Roman" w:eastAsia="Times New Roman" w:hAnsi="Times New Roman" w:cs="Times New Roman"/>
          <w:bCs/>
          <w:noProof/>
          <w:sz w:val="20"/>
          <w:szCs w:val="20"/>
        </w:rPr>
        <w:t>(</w:t>
      </w:r>
      <w:r w:rsidRPr="00702954">
        <w:rPr>
          <w:rFonts w:ascii="Times New Roman" w:eastAsia="Times New Roman" w:hAnsi="Times New Roman" w:cs="Times New Roman"/>
          <w:noProof/>
          <w:sz w:val="20"/>
          <w:szCs w:val="20"/>
        </w:rPr>
        <w:t xml:space="preserve">LAC 28: </w:t>
      </w:r>
      <w:r>
        <w:rPr>
          <w:rFonts w:ascii="Times New Roman" w:eastAsia="Times New Roman" w:hAnsi="Times New Roman" w:cs="Times New Roman"/>
          <w:noProof/>
          <w:sz w:val="20"/>
          <w:szCs w:val="20"/>
        </w:rPr>
        <w:t>XLV.103 and 745</w:t>
      </w:r>
      <w:r w:rsidRPr="00702954">
        <w:rPr>
          <w:rFonts w:ascii="Times New Roman" w:eastAsia="Times New Roman" w:hAnsi="Times New Roman" w:cs="Times New Roman"/>
          <w:bCs/>
          <w:noProof/>
          <w:sz w:val="20"/>
          <w:szCs w:val="20"/>
        </w:rPr>
        <w:t>)</w:t>
      </w:r>
    </w:p>
    <w:p w:rsidR="00577041" w:rsidRPr="00702954" w:rsidRDefault="00577041" w:rsidP="00577041">
      <w:pPr>
        <w:keepNext/>
        <w:jc w:val="center"/>
        <w:rPr>
          <w:rFonts w:ascii="Times New Roman" w:eastAsia="Times New Roman" w:hAnsi="Times New Roman" w:cs="Times New Roman"/>
          <w:bCs/>
          <w:noProof/>
          <w:sz w:val="20"/>
          <w:szCs w:val="20"/>
        </w:rPr>
      </w:pPr>
      <w:r w:rsidRPr="00702954">
        <w:rPr>
          <w:rFonts w:ascii="Times New Roman" w:eastAsia="Times New Roman" w:hAnsi="Times New Roman" w:cs="Times New Roman"/>
          <w:bCs/>
          <w:noProof/>
          <w:sz w:val="20"/>
          <w:szCs w:val="20"/>
        </w:rPr>
        <w:t>(</w:t>
      </w:r>
      <w:r w:rsidRPr="00702954">
        <w:rPr>
          <w:rFonts w:ascii="Times New Roman" w:eastAsia="Times New Roman" w:hAnsi="Times New Roman" w:cs="Times New Roman"/>
          <w:noProof/>
          <w:sz w:val="20"/>
          <w:szCs w:val="20"/>
        </w:rPr>
        <w:t xml:space="preserve">LAC 28: </w:t>
      </w:r>
      <w:r>
        <w:rPr>
          <w:rFonts w:ascii="Times New Roman" w:eastAsia="Times New Roman" w:hAnsi="Times New Roman" w:cs="Times New Roman"/>
          <w:noProof/>
          <w:sz w:val="20"/>
          <w:szCs w:val="20"/>
        </w:rPr>
        <w:t>CXXXI.528</w:t>
      </w:r>
      <w:r w:rsidRPr="00702954">
        <w:rPr>
          <w:rFonts w:ascii="Times New Roman" w:eastAsia="Times New Roman" w:hAnsi="Times New Roman" w:cs="Times New Roman"/>
          <w:bCs/>
          <w:noProof/>
          <w:sz w:val="20"/>
          <w:szCs w:val="20"/>
        </w:rPr>
        <w:t>)</w:t>
      </w:r>
    </w:p>
    <w:p w:rsidR="00577041" w:rsidRPr="00702954" w:rsidRDefault="00577041" w:rsidP="00577041">
      <w:pPr>
        <w:keepNext/>
        <w:rPr>
          <w:rFonts w:ascii="Times New Roman" w:eastAsia="Times New Roman" w:hAnsi="Times New Roman" w:cs="Times New Roman"/>
          <w:noProof/>
          <w:sz w:val="20"/>
          <w:szCs w:val="20"/>
        </w:rPr>
      </w:pPr>
    </w:p>
    <w:p w:rsidR="00577041" w:rsidRPr="008F3F42" w:rsidRDefault="00577041" w:rsidP="00577041">
      <w:pPr>
        <w:pStyle w:val="NormalWeb"/>
        <w:jc w:val="both"/>
      </w:pPr>
      <w:r w:rsidRPr="00702954">
        <w:rPr>
          <w:sz w:val="20"/>
          <w:szCs w:val="20"/>
        </w:rPr>
        <w:t>In accordance with the provisions of R.S. 17:6(A)(10) and the Administrative Procedure Act (APA), R.S. 49:953(B)(1) et seq., the Board of Elementary and Secondary Education (BESE) proposes to amend LAC 28:</w:t>
      </w:r>
      <w:r>
        <w:rPr>
          <w:sz w:val="20"/>
          <w:szCs w:val="20"/>
        </w:rPr>
        <w:t>XLV</w:t>
      </w:r>
      <w:r w:rsidRPr="00702954">
        <w:rPr>
          <w:sz w:val="20"/>
          <w:szCs w:val="20"/>
        </w:rPr>
        <w:t xml:space="preserve"> in </w:t>
      </w:r>
      <w:r>
        <w:rPr>
          <w:i/>
          <w:noProof/>
          <w:sz w:val="20"/>
          <w:szCs w:val="20"/>
        </w:rPr>
        <w:t>Bulletin 996—Standards for Approval of Teacher and/or Educational Leader Preparation Programs</w:t>
      </w:r>
      <w:r>
        <w:rPr>
          <w:noProof/>
          <w:sz w:val="20"/>
          <w:szCs w:val="20"/>
        </w:rPr>
        <w:t xml:space="preserve"> and LAC 28:CXXXI in </w:t>
      </w:r>
      <w:r w:rsidRPr="007C5079">
        <w:rPr>
          <w:i/>
          <w:noProof/>
          <w:sz w:val="20"/>
          <w:szCs w:val="20"/>
        </w:rPr>
        <w:t>Bulletin 746—Louisiana Standards for State Certification of School Personnel</w:t>
      </w:r>
      <w:r w:rsidRPr="00702954">
        <w:rPr>
          <w:sz w:val="20"/>
          <w:szCs w:val="20"/>
        </w:rPr>
        <w:t xml:space="preserve">. </w:t>
      </w:r>
      <w:r>
        <w:rPr>
          <w:sz w:val="20"/>
          <w:szCs w:val="20"/>
        </w:rPr>
        <w:t>T</w:t>
      </w:r>
      <w:r w:rsidRPr="007C5079">
        <w:rPr>
          <w:sz w:val="20"/>
          <w:szCs w:val="20"/>
        </w:rPr>
        <w:t xml:space="preserve">he revisions </w:t>
      </w:r>
      <w:r>
        <w:rPr>
          <w:sz w:val="20"/>
          <w:szCs w:val="20"/>
        </w:rPr>
        <w:t>provide for a</w:t>
      </w:r>
      <w:r w:rsidRPr="007C5079">
        <w:rPr>
          <w:sz w:val="20"/>
          <w:szCs w:val="20"/>
        </w:rPr>
        <w:t xml:space="preserve"> pre-practitioner license </w:t>
      </w:r>
      <w:r>
        <w:rPr>
          <w:sz w:val="20"/>
          <w:szCs w:val="20"/>
        </w:rPr>
        <w:t xml:space="preserve">aligned </w:t>
      </w:r>
      <w:r w:rsidRPr="007C5079">
        <w:rPr>
          <w:sz w:val="20"/>
          <w:szCs w:val="20"/>
        </w:rPr>
        <w:t>with the provisional admission of candidates into alternate t</w:t>
      </w:r>
      <w:r>
        <w:rPr>
          <w:sz w:val="20"/>
          <w:szCs w:val="20"/>
        </w:rPr>
        <w:t xml:space="preserve">eacher preparation programs, </w:t>
      </w:r>
      <w:r w:rsidRPr="007C5079">
        <w:rPr>
          <w:sz w:val="20"/>
          <w:szCs w:val="20"/>
        </w:rPr>
        <w:t>establish renewal requirements for the pre-practitioner license, and clarify the coursework, content-examination, and mentoring requirements applicable to candidates who hold the license.</w:t>
      </w:r>
    </w:p>
    <w:p w:rsidR="00577041" w:rsidRDefault="00577041" w:rsidP="00577041">
      <w:pPr>
        <w:pStyle w:val="Section"/>
        <w:spacing w:after="0"/>
      </w:pPr>
      <w:r>
        <w:t xml:space="preserve">Title </w:t>
      </w:r>
      <w:bookmarkStart w:id="0" w:name="TitleNumber"/>
      <w:r>
        <w:t>28</w:t>
      </w:r>
      <w:bookmarkEnd w:id="0"/>
    </w:p>
    <w:p w:rsidR="00577041" w:rsidRDefault="00577041" w:rsidP="00577041">
      <w:pPr>
        <w:pStyle w:val="Section"/>
        <w:spacing w:after="0"/>
      </w:pPr>
      <w:bookmarkStart w:id="1" w:name="TitleName"/>
      <w:r>
        <w:t>EDUCATION</w:t>
      </w:r>
      <w:bookmarkEnd w:id="1"/>
    </w:p>
    <w:p w:rsidR="00577041" w:rsidRDefault="00577041" w:rsidP="00577041">
      <w:pPr>
        <w:pStyle w:val="Section"/>
        <w:spacing w:after="0"/>
      </w:pPr>
      <w:bookmarkStart w:id="2" w:name="TOC_Part0"/>
      <w:bookmarkStart w:id="3" w:name="_Toc257195949"/>
      <w:bookmarkStart w:id="4" w:name="_Toc259521650"/>
      <w:bookmarkStart w:id="5" w:name="_Toc259521817"/>
      <w:bookmarkStart w:id="6" w:name="_Toc266362993"/>
      <w:bookmarkStart w:id="7" w:name="_Toc272748201"/>
      <w:bookmarkStart w:id="8" w:name="_Toc288479711"/>
      <w:bookmarkStart w:id="9" w:name="_Toc293379847"/>
      <w:bookmarkStart w:id="10" w:name="_Toc298740214"/>
      <w:bookmarkStart w:id="11" w:name="_Toc309367981"/>
      <w:bookmarkStart w:id="12" w:name="_Toc314562766"/>
      <w:bookmarkStart w:id="13" w:name="_Toc319993616"/>
      <w:bookmarkStart w:id="14" w:name="_Toc343671010"/>
      <w:bookmarkStart w:id="15" w:name="_Toc393436237"/>
      <w:bookmarkStart w:id="16" w:name="_Toc419806962"/>
      <w:bookmarkStart w:id="17" w:name="_Toc433107724"/>
      <w:bookmarkStart w:id="18" w:name="_Toc468105347"/>
      <w:bookmarkStart w:id="19" w:name="_Toc488754007"/>
      <w:bookmarkStart w:id="20" w:name="_Toc507052447"/>
      <w:bookmarkStart w:id="21" w:name="_Toc530564610"/>
      <w:bookmarkStart w:id="22" w:name="_Toc2167151"/>
      <w:bookmarkStart w:id="23" w:name="_Toc17204392"/>
      <w:bookmarkStart w:id="24" w:name="_Toc35533199"/>
      <w:bookmarkStart w:id="25" w:name="_Toc54092468"/>
      <w:bookmarkStart w:id="26" w:name="_Toc85628278"/>
      <w:bookmarkStart w:id="27" w:name="_Toc99104706"/>
      <w:bookmarkStart w:id="28" w:name="_Toc101467818"/>
      <w:bookmarkStart w:id="29" w:name="_Toc112236879"/>
      <w:bookmarkStart w:id="30" w:name="_Toc128061284"/>
      <w:bookmarkStart w:id="31" w:name="_Toc155170811"/>
      <w:bookmarkStart w:id="32" w:name="_Toc156992384"/>
      <w:bookmarkStart w:id="33" w:name="_Toc167103595"/>
      <w:bookmarkStart w:id="34" w:name="_Toc167782786"/>
      <w:bookmarkStart w:id="35" w:name="_Toc191394384"/>
      <w:bookmarkStart w:id="36" w:name="_Toc206158344"/>
      <w:r>
        <w:t xml:space="preserve">Part CXXXI.  </w:t>
      </w:r>
      <w:r w:rsidRPr="002C5237">
        <w:rPr>
          <w:i/>
        </w:rPr>
        <w:t>Bulletin 746―Louisiana Standards for</w:t>
      </w:r>
      <w:r w:rsidRPr="002C5237">
        <w:rPr>
          <w:i/>
          <w:lang w:val="en-US"/>
        </w:rPr>
        <w:t xml:space="preserve"> </w:t>
      </w:r>
      <w:r w:rsidRPr="002C5237">
        <w:rPr>
          <w:i/>
        </w:rPr>
        <w:t>State Certification of School Personnel</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rsidR="00577041" w:rsidRPr="00C03F8A" w:rsidRDefault="00577041" w:rsidP="00577041">
      <w:pPr>
        <w:pStyle w:val="Section"/>
        <w:spacing w:after="0"/>
        <w:rPr>
          <w:bCs/>
        </w:rPr>
      </w:pPr>
      <w:bookmarkStart w:id="37" w:name="TOC_Chap32"/>
      <w:bookmarkStart w:id="38" w:name="_Toc206158353"/>
      <w:r w:rsidRPr="00C03F8A">
        <w:rPr>
          <w:bCs/>
        </w:rPr>
        <w:t>Chapter 5.</w:t>
      </w:r>
      <w:bookmarkEnd w:id="37"/>
      <w:r w:rsidRPr="00C03F8A">
        <w:rPr>
          <w:bCs/>
        </w:rPr>
        <w:tab/>
        <w:t>Teaching Credentials, Licenses and Certifications</w:t>
      </w:r>
      <w:bookmarkEnd w:id="38"/>
    </w:p>
    <w:p w:rsidR="00577041" w:rsidRPr="003F4BF0" w:rsidRDefault="00577041" w:rsidP="00577041">
      <w:pPr>
        <w:pStyle w:val="Section"/>
        <w:rPr>
          <w:sz w:val="24"/>
        </w:rPr>
      </w:pPr>
      <w:bookmarkStart w:id="39" w:name="_Toc206158369"/>
      <w:r w:rsidRPr="003F4BF0">
        <w:t>§528.</w:t>
      </w:r>
      <w:r w:rsidRPr="003F4BF0">
        <w:tab/>
        <w:t>Pre-Practitioner License</w:t>
      </w:r>
      <w:bookmarkEnd w:id="39"/>
    </w:p>
    <w:p w:rsidR="00577041" w:rsidRPr="003F4BF0" w:rsidRDefault="00577041" w:rsidP="00577041">
      <w:pPr>
        <w:pStyle w:val="A"/>
      </w:pPr>
      <w:r w:rsidRPr="003F4BF0">
        <w:t>A.</w:t>
      </w:r>
      <w:r w:rsidRPr="003F4BF0">
        <w:tab/>
      </w:r>
      <w:r w:rsidRPr="00DF2CB3">
        <w:t>The pre-practitioner license is a temporary certificate issued in accordance with provisional admittance into an alternate certification program pursuant to LAC 28:XLV.</w:t>
      </w:r>
    </w:p>
    <w:p w:rsidR="00577041" w:rsidRPr="003F4BF0" w:rsidRDefault="00577041" w:rsidP="00577041">
      <w:pPr>
        <w:pStyle w:val="1"/>
      </w:pPr>
      <w:r w:rsidRPr="003F4BF0">
        <w:t>1.</w:t>
      </w:r>
      <w:r>
        <w:rPr>
          <w:lang w:val="en-US"/>
        </w:rPr>
        <w:t xml:space="preserve"> – 1.a.</w:t>
      </w:r>
      <w:r>
        <w:rPr>
          <w:lang w:val="en-US"/>
        </w:rPr>
        <w:tab/>
        <w:t>…</w:t>
      </w:r>
    </w:p>
    <w:p w:rsidR="00577041" w:rsidRPr="007C5079" w:rsidRDefault="00577041" w:rsidP="00577041">
      <w:pPr>
        <w:pStyle w:val="a0"/>
      </w:pPr>
      <w:r w:rsidRPr="003F4BF0">
        <w:t>b.</w:t>
      </w:r>
      <w:r w:rsidRPr="003F4BF0">
        <w:rPr>
          <w:rStyle w:val="apple-tab-span"/>
          <w:rFonts w:cs="Arial"/>
          <w:szCs w:val="22"/>
        </w:rPr>
        <w:tab/>
      </w:r>
      <w:r w:rsidRPr="003F4BF0">
        <w:t xml:space="preserve">2.20 or higher undergraduate GPA on a 4.00 scale to enter a </w:t>
      </w:r>
      <w:r w:rsidRPr="007C5079">
        <w:rPr>
          <w:lang w:val="en-US"/>
        </w:rPr>
        <w:t xml:space="preserve">teacher preparation </w:t>
      </w:r>
      <w:r w:rsidRPr="007C5079">
        <w:t xml:space="preserve">program; or </w:t>
      </w:r>
      <w:r w:rsidRPr="007C5079">
        <w:rPr>
          <w:lang w:val="en-US"/>
        </w:rPr>
        <w:t>documentation of conditional acceptance into a teacher preparation program</w:t>
      </w:r>
      <w:r w:rsidRPr="007C5079">
        <w:t>; and</w:t>
      </w:r>
    </w:p>
    <w:p w:rsidR="00577041" w:rsidRPr="007C5079" w:rsidRDefault="00577041" w:rsidP="00577041">
      <w:pPr>
        <w:pStyle w:val="a0"/>
      </w:pPr>
      <w:r w:rsidRPr="007C5079">
        <w:t>c.</w:t>
      </w:r>
      <w:r w:rsidRPr="007C5079">
        <w:rPr>
          <w:rStyle w:val="apple-tab-span"/>
          <w:rFonts w:cs="Arial"/>
          <w:szCs w:val="22"/>
        </w:rPr>
        <w:tab/>
      </w:r>
      <w:r w:rsidRPr="007C5079">
        <w:t>passing scores on content area exam(s)</w:t>
      </w:r>
      <w:r w:rsidRPr="007C5079">
        <w:rPr>
          <w:lang w:val="en-US"/>
        </w:rPr>
        <w:t xml:space="preserve"> have not been achieved. Candidate must complete courses or programs offered by the teacher preparation program designed to support the educator in passing the required exams.</w:t>
      </w:r>
      <w:r w:rsidRPr="007C5079">
        <w:t xml:space="preserve"> See §303 of this part for exam requirements.</w:t>
      </w:r>
    </w:p>
    <w:p w:rsidR="00577041" w:rsidRPr="007C5079" w:rsidRDefault="00577041" w:rsidP="00577041">
      <w:pPr>
        <w:pStyle w:val="a0"/>
        <w:rPr>
          <w:strike/>
        </w:rPr>
      </w:pPr>
      <w:r w:rsidRPr="007C5079">
        <w:t>d.</w:t>
      </w:r>
      <w:r w:rsidRPr="007C5079">
        <w:rPr>
          <w:rStyle w:val="apple-tab-span"/>
          <w:rFonts w:cs="Arial"/>
          <w:szCs w:val="22"/>
        </w:rPr>
        <w:tab/>
      </w:r>
      <w:r w:rsidRPr="007C5079">
        <w:rPr>
          <w:rStyle w:val="apple-tab-span"/>
          <w:rFonts w:cs="Arial"/>
          <w:szCs w:val="22"/>
          <w:lang w:val="en-US"/>
        </w:rPr>
        <w:t>The candidate may complete up to twelve required credit hours or equivalent contact hours for the approved program while holding a pre-practitioner license.</w:t>
      </w:r>
    </w:p>
    <w:p w:rsidR="00577041" w:rsidRPr="007C5079" w:rsidRDefault="00577041" w:rsidP="00577041">
      <w:pPr>
        <w:pStyle w:val="a0"/>
        <w:rPr>
          <w:lang w:val="en-US"/>
        </w:rPr>
      </w:pPr>
      <w:r w:rsidRPr="007C5079">
        <w:rPr>
          <w:lang w:val="en-US"/>
        </w:rPr>
        <w:t>e.</w:t>
      </w:r>
      <w:r w:rsidRPr="007C5079">
        <w:rPr>
          <w:lang w:val="en-US"/>
        </w:rPr>
        <w:tab/>
        <w:t xml:space="preserve">The candidate must receive mentoring by a school-based mentor teacher in accordance with </w:t>
      </w:r>
      <w:r w:rsidRPr="007C5079">
        <w:rPr>
          <w:sz w:val="22"/>
          <w:szCs w:val="22"/>
        </w:rPr>
        <w:t>§553 of this Chapter for each year on the pre-practitioner license.</w:t>
      </w:r>
    </w:p>
    <w:p w:rsidR="00577041" w:rsidRPr="007C5079" w:rsidRDefault="00577041" w:rsidP="00577041">
      <w:pPr>
        <w:pStyle w:val="1"/>
      </w:pPr>
      <w:r w:rsidRPr="007C5079">
        <w:t>2.</w:t>
      </w:r>
      <w:r w:rsidRPr="007C5079">
        <w:rPr>
          <w:rStyle w:val="apple-tab-span"/>
          <w:rFonts w:cs="Arial"/>
        </w:rPr>
        <w:tab/>
      </w:r>
      <w:r w:rsidRPr="007C5079">
        <w:rPr>
          <w:lang w:val="en-US"/>
        </w:rPr>
        <w:t>..</w:t>
      </w:r>
      <w:r w:rsidRPr="007C5079">
        <w:t>.</w:t>
      </w:r>
    </w:p>
    <w:p w:rsidR="00577041" w:rsidRPr="007C5079" w:rsidRDefault="00577041" w:rsidP="00577041">
      <w:pPr>
        <w:pStyle w:val="1"/>
      </w:pPr>
      <w:r w:rsidRPr="007C5079">
        <w:t>3.</w:t>
      </w:r>
      <w:r w:rsidRPr="007C5079">
        <w:tab/>
        <w:t>Teacher candidates</w:t>
      </w:r>
      <w:r w:rsidRPr="007C5079">
        <w:rPr>
          <w:lang w:val="en-US"/>
        </w:rPr>
        <w:t xml:space="preserve"> issued the pre-practitioner license prior to June 1, 2024, having received</w:t>
      </w:r>
      <w:r w:rsidRPr="007C5079">
        <w:t xml:space="preserve"> mentoring while on the pre-practitioner license by a certified mentor in accordance with </w:t>
      </w:r>
      <w:r w:rsidRPr="007C5079">
        <w:rPr>
          <w:sz w:val="22"/>
          <w:szCs w:val="22"/>
        </w:rPr>
        <w:t>§</w:t>
      </w:r>
      <w:r w:rsidRPr="007C5079">
        <w:t>515, 553, and 1369 of this Part and completing all other certification requirements for issuance of the initial standard level teaching certificate may advance from the pre-practitioner license to the standard level teaching certificate.</w:t>
      </w:r>
    </w:p>
    <w:p w:rsidR="00577041" w:rsidRPr="007C5079" w:rsidRDefault="00577041" w:rsidP="00577041">
      <w:pPr>
        <w:pStyle w:val="1"/>
      </w:pPr>
      <w:r w:rsidRPr="007C5079">
        <w:t>4.</w:t>
      </w:r>
      <w:r w:rsidRPr="007C5079">
        <w:tab/>
        <w:t>Teacher candidates</w:t>
      </w:r>
      <w:r w:rsidRPr="007C5079">
        <w:rPr>
          <w:lang w:val="en-US"/>
        </w:rPr>
        <w:t xml:space="preserve"> issued the pre-practitioner license prior to June 1, 2024, not having received</w:t>
      </w:r>
      <w:r w:rsidRPr="007C5079">
        <w:t xml:space="preserve"> mentoring while on the pre-practitioner license by a certified mentor in accordance with </w:t>
      </w:r>
      <w:r w:rsidRPr="007C5079">
        <w:rPr>
          <w:sz w:val="22"/>
          <w:szCs w:val="22"/>
        </w:rPr>
        <w:t>§</w:t>
      </w:r>
      <w:r w:rsidRPr="007C5079">
        <w:t>515, 553, and 1369 of this Part must serve on the practitioner license and be mentored by a certified mentor for a year and meet all other certification requirements prior to advancing to the standard level teaching certificate.</w:t>
      </w:r>
    </w:p>
    <w:p w:rsidR="00577041" w:rsidRPr="007C5079" w:rsidRDefault="00577041" w:rsidP="00577041">
      <w:pPr>
        <w:pStyle w:val="A"/>
        <w:rPr>
          <w:lang w:val="en-US"/>
        </w:rPr>
      </w:pPr>
      <w:r w:rsidRPr="007C5079">
        <w:rPr>
          <w:lang w:val="en-US"/>
        </w:rPr>
        <w:t>B.</w:t>
      </w:r>
      <w:r w:rsidRPr="007C5079">
        <w:rPr>
          <w:lang w:val="en-US"/>
        </w:rPr>
        <w:tab/>
        <w:t>Renewal Requirements. The pre-practitioner license issued after June 1, 2024, is valid for one year initially and may be renewed for one additional year while the holder pursues requirements for full admission into the teacher preparation program.</w:t>
      </w:r>
    </w:p>
    <w:p w:rsidR="00577041" w:rsidRPr="007C5079" w:rsidRDefault="00577041" w:rsidP="00577041">
      <w:pPr>
        <w:pStyle w:val="1"/>
      </w:pPr>
      <w:r w:rsidRPr="007C5079">
        <w:t>1.</w:t>
      </w:r>
      <w:r w:rsidRPr="007C5079">
        <w:tab/>
        <w:t>The candidate must remain provisionally enrolled in the practitioner teacher, certification-only, or master’s degree alternate certification program and have completed no more than twelve of the required credit hours or equivalent contact hours for the approved program.</w:t>
      </w:r>
    </w:p>
    <w:p w:rsidR="00577041" w:rsidRPr="007C5079" w:rsidRDefault="00577041" w:rsidP="00577041">
      <w:pPr>
        <w:pStyle w:val="1"/>
      </w:pPr>
      <w:r w:rsidRPr="007C5079">
        <w:t>2.</w:t>
      </w:r>
      <w:r w:rsidRPr="007C5079">
        <w:tab/>
        <w:t>The candidate must provide evidence that all content exams required for full admission into the enrolled program have been attempted twice since issuance of the pre-practitioner license.</w:t>
      </w:r>
    </w:p>
    <w:p w:rsidR="00577041" w:rsidRPr="007C5079" w:rsidRDefault="00577041" w:rsidP="00577041">
      <w:pPr>
        <w:pStyle w:val="1"/>
      </w:pPr>
      <w:r w:rsidRPr="007C5079">
        <w:t>3.</w:t>
      </w:r>
      <w:r w:rsidRPr="007C5079">
        <w:tab/>
        <w:t xml:space="preserve">The candidate must receive mentoring by a school-based mentor teacher in accordance with §553 of this Chapter for each year on the pre-practitioner license. Such mentoring does not replace the one-year mentored residency during the first year on the Practitioner License or Resident Teacher certificate required for professional certification. </w:t>
      </w:r>
    </w:p>
    <w:p w:rsidR="00577041" w:rsidRPr="007C5079" w:rsidRDefault="00577041" w:rsidP="00577041">
      <w:pPr>
        <w:pStyle w:val="1"/>
      </w:pPr>
      <w:r w:rsidRPr="007C5079">
        <w:t>4.</w:t>
      </w:r>
      <w:r w:rsidRPr="007C5079">
        <w:tab/>
        <w:t>The candidate must complete courses or programs offered by the teacher preparation program designed to support the educator in passing the required exams.</w:t>
      </w:r>
    </w:p>
    <w:p w:rsidR="00577041" w:rsidRPr="003F4BF0" w:rsidRDefault="00577041" w:rsidP="00577041">
      <w:pPr>
        <w:pStyle w:val="AuthorityNote"/>
      </w:pPr>
      <w:r w:rsidRPr="003F4BF0">
        <w:t>AUTHORITY NOTE:</w:t>
      </w:r>
      <w:r w:rsidRPr="003F4BF0">
        <w:tab/>
      </w:r>
      <w:r w:rsidRPr="00D07FB8">
        <w:t>Promulgated in accordance with R.S. 17:6, R.S. 17:7(6), R.</w:t>
      </w:r>
      <w:r>
        <w:t>S. 17:8.1-8.3, and R.S. 17:3902</w:t>
      </w:r>
      <w:r w:rsidRPr="003F4BF0">
        <w:t>.</w:t>
      </w:r>
    </w:p>
    <w:p w:rsidR="00577041" w:rsidRPr="00A33D1E" w:rsidRDefault="00577041" w:rsidP="00577041">
      <w:pPr>
        <w:pStyle w:val="HistoricalNote"/>
        <w:rPr>
          <w:lang w:val="en-US"/>
        </w:rPr>
      </w:pPr>
      <w:r w:rsidRPr="003F4BF0">
        <w:t>HISTORICAL NOTE:</w:t>
      </w:r>
      <w:r w:rsidRPr="003F4BF0">
        <w:tab/>
        <w:t xml:space="preserve">Promulgated by the Board of Elementary and Secondary Education, </w:t>
      </w:r>
      <w:r>
        <w:t>LR 49:255 (February 2023</w:t>
      </w:r>
      <w:r w:rsidRPr="00081332">
        <w:t>), LR 50:</w:t>
      </w:r>
      <w:r>
        <w:t>661 (May 2024)</w:t>
      </w:r>
      <w:r>
        <w:rPr>
          <w:lang w:val="en-US"/>
        </w:rPr>
        <w:t>, LR 52:</w:t>
      </w:r>
    </w:p>
    <w:p w:rsidR="00577041" w:rsidRDefault="00577041" w:rsidP="00577041"/>
    <w:p w:rsidR="00577041" w:rsidRPr="009E37ED" w:rsidRDefault="00577041" w:rsidP="00577041">
      <w:pPr>
        <w:pStyle w:val="Section"/>
        <w:spacing w:after="0"/>
        <w:rPr>
          <w:bCs/>
        </w:rPr>
      </w:pPr>
      <w:bookmarkStart w:id="40" w:name="_Toc247430009"/>
      <w:bookmarkStart w:id="41" w:name="_Toc259523866"/>
      <w:bookmarkStart w:id="42" w:name="_Toc286140168"/>
      <w:bookmarkStart w:id="43" w:name="_Toc286144153"/>
      <w:bookmarkStart w:id="44" w:name="_Toc286647402"/>
      <w:bookmarkStart w:id="45" w:name="_Toc488756301"/>
      <w:bookmarkStart w:id="46" w:name="_Toc501544446"/>
      <w:bookmarkStart w:id="47" w:name="_Toc14434496"/>
      <w:bookmarkStart w:id="48" w:name="_Toc17205297"/>
      <w:bookmarkStart w:id="49" w:name="_Toc39499677"/>
      <w:bookmarkStart w:id="50" w:name="_Toc101468549"/>
      <w:bookmarkStart w:id="51" w:name="_Toc167105491"/>
      <w:bookmarkStart w:id="52" w:name="_Toc168640943"/>
      <w:bookmarkStart w:id="53" w:name="_Toc191388756"/>
      <w:bookmarkStart w:id="54" w:name="_Toc217057188"/>
      <w:r w:rsidRPr="009E37ED">
        <w:rPr>
          <w:bCs/>
        </w:rPr>
        <w:t xml:space="preserve">Part XLV.  </w:t>
      </w:r>
      <w:r w:rsidRPr="002C5237">
        <w:rPr>
          <w:bCs/>
          <w:i/>
        </w:rPr>
        <w:t>Bulletin 996—Standards for Approval of Teacher and/or Educational Leader Preparation Programs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577041" w:rsidRPr="009E37ED" w:rsidRDefault="00577041" w:rsidP="00577041">
      <w:pPr>
        <w:pStyle w:val="Section"/>
        <w:spacing w:after="0"/>
        <w:rPr>
          <w:bCs/>
        </w:rPr>
      </w:pPr>
      <w:bookmarkStart w:id="55" w:name="TOC_Chap2"/>
      <w:bookmarkStart w:id="56" w:name="_Toc247339893"/>
      <w:bookmarkStart w:id="57" w:name="_Toc217057189"/>
      <w:r w:rsidRPr="009E37ED">
        <w:rPr>
          <w:bCs/>
        </w:rPr>
        <w:t>Chapter 1.</w:t>
      </w:r>
      <w:bookmarkEnd w:id="55"/>
      <w:r w:rsidRPr="009E37ED">
        <w:rPr>
          <w:bCs/>
        </w:rPr>
        <w:tab/>
      </w:r>
      <w:bookmarkStart w:id="58" w:name="TOCT_Chap2"/>
      <w:r w:rsidRPr="009E37ED">
        <w:rPr>
          <w:bCs/>
        </w:rPr>
        <w:t>Introduction</w:t>
      </w:r>
      <w:bookmarkEnd w:id="56"/>
      <w:bookmarkEnd w:id="57"/>
      <w:bookmarkEnd w:id="58"/>
    </w:p>
    <w:p w:rsidR="00577041" w:rsidRPr="0029705C" w:rsidRDefault="00577041" w:rsidP="00577041">
      <w:pPr>
        <w:pStyle w:val="Section"/>
      </w:pPr>
      <w:bookmarkStart w:id="59" w:name="_Toc217057191"/>
      <w:r w:rsidRPr="0029705C">
        <w:t>§103.</w:t>
      </w:r>
      <w:r w:rsidRPr="0029705C">
        <w:tab/>
        <w:t>Definitions</w:t>
      </w:r>
      <w:bookmarkEnd w:id="59"/>
    </w:p>
    <w:p w:rsidR="00577041" w:rsidRDefault="00577041" w:rsidP="00577041">
      <w:pPr>
        <w:jc w:val="center"/>
      </w:pPr>
      <w:r>
        <w:t>***</w:t>
      </w:r>
    </w:p>
    <w:p w:rsidR="00577041" w:rsidRDefault="00577041" w:rsidP="00577041">
      <w:pPr>
        <w:pStyle w:val="A"/>
      </w:pPr>
      <w:r w:rsidRPr="0029705C">
        <w:rPr>
          <w:i/>
        </w:rPr>
        <w:t>Practitioner</w:t>
      </w:r>
      <w:r w:rsidRPr="0029705C">
        <w:t>—a candidate who serves as the teacher of record and is currently enrolled in an alternative certification program.</w:t>
      </w:r>
    </w:p>
    <w:p w:rsidR="00577041" w:rsidRPr="007C5079" w:rsidRDefault="00577041" w:rsidP="00577041">
      <w:pPr>
        <w:pStyle w:val="A"/>
        <w:rPr>
          <w:lang w:val="en-US"/>
        </w:rPr>
      </w:pPr>
      <w:r w:rsidRPr="007C5079">
        <w:rPr>
          <w:i/>
          <w:lang w:val="en-US"/>
        </w:rPr>
        <w:lastRenderedPageBreak/>
        <w:t>Provisional Admission</w:t>
      </w:r>
      <w:r w:rsidRPr="007C5079">
        <w:t>—a</w:t>
      </w:r>
      <w:r w:rsidRPr="007C5079">
        <w:rPr>
          <w:lang w:val="en-US"/>
        </w:rPr>
        <w:t xml:space="preserve"> temporary admission status for candidates enrolled in a post-baccalaureate teacher preparation program who have not yet passed the required Praxis content examination for full program admission. Candidates admitted provisionally may complete up to twelve credit hours, or equivalent contact hours, of coursework focused on content exam preparation and classroom readiness prior to earning a passing score on the required content examination.</w:t>
      </w:r>
    </w:p>
    <w:p w:rsidR="00577041" w:rsidRPr="007C5079" w:rsidRDefault="00577041" w:rsidP="00577041">
      <w:pPr>
        <w:jc w:val="center"/>
      </w:pPr>
      <w:r w:rsidRPr="007C5079">
        <w:t>***</w:t>
      </w:r>
    </w:p>
    <w:p w:rsidR="00577041" w:rsidRPr="007C5079" w:rsidRDefault="00577041" w:rsidP="00577041">
      <w:pPr>
        <w:pStyle w:val="AuthorityNote"/>
      </w:pPr>
      <w:r w:rsidRPr="007C5079">
        <w:t>AUTHORITY NOTE:</w:t>
      </w:r>
      <w:r w:rsidRPr="007C5079">
        <w:tab/>
        <w:t>Promulgated in accordance with R.S. 17:6, 17:7(6), R.S. 17:3902, and R.S. 17:407.81, and R.S. 17:8.1-8.5.</w:t>
      </w:r>
    </w:p>
    <w:p w:rsidR="00577041" w:rsidRPr="007C5079" w:rsidRDefault="00577041" w:rsidP="00577041">
      <w:pPr>
        <w:pStyle w:val="HistoricalNote"/>
        <w:rPr>
          <w:lang w:val="en-US"/>
        </w:rPr>
      </w:pPr>
      <w:r w:rsidRPr="007C5079">
        <w:t>HISTORICAL NOTE:</w:t>
      </w:r>
      <w:r w:rsidRPr="007C5079">
        <w:tab/>
        <w:t>Promulgated by the Board of Elementary and Secondary Education, LR 51:272 (February 2025), amended LR 51:2049 (December 2025)</w:t>
      </w:r>
      <w:r w:rsidRPr="007C5079">
        <w:rPr>
          <w:lang w:val="en-US"/>
        </w:rPr>
        <w:t>, LR 52:</w:t>
      </w:r>
    </w:p>
    <w:p w:rsidR="00577041" w:rsidRPr="007C5079" w:rsidRDefault="00577041" w:rsidP="00577041">
      <w:pPr>
        <w:pStyle w:val="Section"/>
        <w:spacing w:after="0"/>
        <w:rPr>
          <w:bCs/>
        </w:rPr>
      </w:pPr>
      <w:bookmarkStart w:id="60" w:name="_Toc217057215"/>
      <w:r w:rsidRPr="007C5079">
        <w:rPr>
          <w:bCs/>
        </w:rPr>
        <w:t>Chapter 7.</w:t>
      </w:r>
      <w:r w:rsidRPr="007C5079">
        <w:rPr>
          <w:bCs/>
        </w:rPr>
        <w:tab/>
        <w:t>Louisiana State Standards for Educator Preparation Programs</w:t>
      </w:r>
      <w:bookmarkEnd w:id="60"/>
    </w:p>
    <w:p w:rsidR="00577041" w:rsidRPr="007C5079" w:rsidRDefault="00577041" w:rsidP="00577041">
      <w:pPr>
        <w:pStyle w:val="Section"/>
        <w:spacing w:after="0"/>
        <w:rPr>
          <w:bCs/>
        </w:rPr>
      </w:pPr>
      <w:bookmarkStart w:id="61" w:name="_Toc217057217"/>
      <w:r w:rsidRPr="007C5079">
        <w:rPr>
          <w:bCs/>
        </w:rPr>
        <w:t>Subchapter A.</w:t>
      </w:r>
      <w:r w:rsidRPr="007C5079">
        <w:rPr>
          <w:bCs/>
        </w:rPr>
        <w:tab/>
        <w:t>Teacher Preparation Programs</w:t>
      </w:r>
      <w:bookmarkEnd w:id="61"/>
    </w:p>
    <w:p w:rsidR="00577041" w:rsidRPr="007C5079" w:rsidRDefault="00577041" w:rsidP="00577041">
      <w:pPr>
        <w:pStyle w:val="Section"/>
      </w:pPr>
      <w:bookmarkStart w:id="62" w:name="_Toc217057220"/>
      <w:r w:rsidRPr="007C5079">
        <w:t>§745.</w:t>
      </w:r>
      <w:r w:rsidRPr="007C5079">
        <w:tab/>
        <w:t>Minimum Requirements for Alternate Teacher Preparation Programs</w:t>
      </w:r>
      <w:bookmarkEnd w:id="62"/>
      <w:r w:rsidRPr="007C5079">
        <w:rPr>
          <w:b w:val="0"/>
        </w:rPr>
        <w:t xml:space="preserve"> </w:t>
      </w:r>
    </w:p>
    <w:p w:rsidR="00577041" w:rsidRPr="007C5079" w:rsidRDefault="00577041" w:rsidP="00577041">
      <w:pPr>
        <w:pStyle w:val="A"/>
      </w:pPr>
      <w:r w:rsidRPr="007C5079">
        <w:t>A.</w:t>
      </w:r>
      <w:r w:rsidRPr="007C5079">
        <w:rPr>
          <w:lang w:val="en-US"/>
        </w:rPr>
        <w:t xml:space="preserve"> – D.4.b.</w:t>
      </w:r>
      <w:r w:rsidRPr="007C5079">
        <w:rPr>
          <w:lang w:val="en-US"/>
        </w:rPr>
        <w:tab/>
        <w:t>…</w:t>
      </w:r>
    </w:p>
    <w:p w:rsidR="00577041" w:rsidRPr="007C5079" w:rsidRDefault="00577041" w:rsidP="00577041">
      <w:pPr>
        <w:pStyle w:val="1"/>
        <w:rPr>
          <w:lang w:val="en-US"/>
        </w:rPr>
      </w:pPr>
      <w:r w:rsidRPr="007C5079">
        <w:t>5.</w:t>
      </w:r>
      <w:r w:rsidRPr="007C5079">
        <w:tab/>
        <w:t xml:space="preserve">Practitioner teacher programs shall require candidates to complete the residency as a teacher </w:t>
      </w:r>
      <w:r w:rsidRPr="007C5079">
        <w:rPr>
          <w:spacing w:val="-3"/>
        </w:rPr>
        <w:t xml:space="preserve">of </w:t>
      </w:r>
      <w:r w:rsidRPr="007C5079">
        <w:t>record. Candidates must hold a valid practitioner teacher license pursuant to</w:t>
      </w:r>
      <w:r w:rsidRPr="007C5079">
        <w:rPr>
          <w:lang w:val="en-US"/>
        </w:rPr>
        <w:t xml:space="preserve"> LAC 28:CXXXI.515 </w:t>
      </w:r>
      <w:r w:rsidRPr="007C5079">
        <w:rPr>
          <w:i/>
          <w:lang w:val="en-US"/>
        </w:rPr>
        <w:t>Bulletin 746</w:t>
      </w:r>
      <w:r w:rsidRPr="007C5079">
        <w:t>.</w:t>
      </w:r>
      <w:r w:rsidRPr="007C5079">
        <w:rPr>
          <w:lang w:val="en-US"/>
        </w:rPr>
        <w:t xml:space="preserve"> Candidates admitted under provisional admission status are not eligible for residency placement until all content examination requirements have been met.</w:t>
      </w:r>
    </w:p>
    <w:p w:rsidR="00577041" w:rsidRPr="007C5079" w:rsidRDefault="00577041" w:rsidP="00577041">
      <w:pPr>
        <w:pStyle w:val="1"/>
      </w:pPr>
      <w:r w:rsidRPr="007C5079">
        <w:rPr>
          <w:lang w:val="en-US"/>
        </w:rPr>
        <w:t>D.</w:t>
      </w:r>
      <w:r w:rsidRPr="007C5079">
        <w:t>6.</w:t>
      </w:r>
      <w:r w:rsidRPr="007C5079">
        <w:rPr>
          <w:lang w:val="en-US"/>
        </w:rPr>
        <w:t xml:space="preserve"> – F.3.</w:t>
      </w:r>
      <w:r w:rsidRPr="007C5079">
        <w:rPr>
          <w:lang w:val="en-US"/>
        </w:rPr>
        <w:tab/>
        <w:t>…</w:t>
      </w:r>
    </w:p>
    <w:p w:rsidR="00577041" w:rsidRPr="007C5079" w:rsidRDefault="00577041" w:rsidP="00577041">
      <w:pPr>
        <w:pStyle w:val="a0"/>
        <w:rPr>
          <w:i/>
          <w:lang w:val="en-US"/>
        </w:rPr>
      </w:pPr>
      <w:r w:rsidRPr="007C5079">
        <w:rPr>
          <w:lang w:val="en-US"/>
        </w:rPr>
        <w:t>a.</w:t>
      </w:r>
      <w:r w:rsidRPr="007C5079">
        <w:rPr>
          <w:lang w:val="en-US"/>
        </w:rPr>
        <w:tab/>
        <w:t xml:space="preserve">Effective October 20, 2026, teacher preparation providers may provisionally admit candidates who have not yet earned a passing score on the required Praxis content examination. Provisionally admitted candidates may complete no more than twelve credit hours, or equivalent contact hours, of coursework prior to earning a passing score on the required content examination. Coursework completed during provisional admission shall be limited to content preparation and classroom readiness. Candidates shall meet all testing requirements established in LAC 28:CXXXI.515 </w:t>
      </w:r>
      <w:r w:rsidRPr="007C5079">
        <w:rPr>
          <w:i/>
          <w:lang w:val="en-US"/>
        </w:rPr>
        <w:t xml:space="preserve">Bulletin 746 </w:t>
      </w:r>
      <w:r w:rsidRPr="007C5079">
        <w:rPr>
          <w:lang w:val="en-US"/>
        </w:rPr>
        <w:t>prior to beginning residency</w:t>
      </w:r>
      <w:r w:rsidRPr="007C5079">
        <w:rPr>
          <w:i/>
          <w:lang w:val="en-US"/>
        </w:rPr>
        <w:t>.</w:t>
      </w:r>
    </w:p>
    <w:p w:rsidR="00577041" w:rsidRDefault="00577041" w:rsidP="00577041">
      <w:pPr>
        <w:pStyle w:val="1"/>
      </w:pPr>
      <w:r>
        <w:rPr>
          <w:lang w:val="en-US"/>
        </w:rPr>
        <w:t>F.</w:t>
      </w:r>
      <w:r w:rsidRPr="00A70545">
        <w:t>4.</w:t>
      </w:r>
      <w:r>
        <w:rPr>
          <w:lang w:val="en-US"/>
        </w:rPr>
        <w:t xml:space="preserve"> – J.</w:t>
      </w:r>
      <w:r>
        <w:rPr>
          <w:lang w:val="en-US"/>
        </w:rPr>
        <w:tab/>
        <w:t>…</w:t>
      </w:r>
      <w:bookmarkStart w:id="63" w:name="Temp"/>
    </w:p>
    <w:bookmarkEnd w:id="63"/>
    <w:p w:rsidR="00577041" w:rsidRPr="00533F26" w:rsidRDefault="00577041" w:rsidP="00577041">
      <w:pPr>
        <w:pStyle w:val="AuthorityNote"/>
      </w:pPr>
      <w:r w:rsidRPr="004945BE">
        <w:t>AUTHORITY NOTE:</w:t>
      </w:r>
      <w:r w:rsidRPr="004945BE">
        <w:tab/>
        <w:t>Promulgated</w:t>
      </w:r>
      <w:r w:rsidRPr="00B124F8">
        <w:t xml:space="preserve"> in accordance with R.S. 17:6(A)(10), (11), and (15), 17:7(6), 17:10, 17:22(6), 17:391.1-391.10, and 17:411; and 17:7.2.</w:t>
      </w:r>
    </w:p>
    <w:p w:rsidR="00577041" w:rsidRPr="00BB1CDF" w:rsidRDefault="00577041" w:rsidP="00577041">
      <w:pPr>
        <w:pStyle w:val="HistoricalNote"/>
        <w:rPr>
          <w:lang w:val="en-US"/>
        </w:rPr>
      </w:pPr>
      <w:r w:rsidRPr="00533F26">
        <w:t>HISTORICAL NOTE:</w:t>
      </w:r>
      <w:r w:rsidRPr="00533F26">
        <w:tab/>
        <w:t xml:space="preserve">Promulgated by the Board of Elementary and Secondary Education, </w:t>
      </w:r>
      <w:r>
        <w:t xml:space="preserve">LR 43:1331 (July 2017), </w:t>
      </w:r>
      <w:r w:rsidRPr="00820C33">
        <w:t>amended LR 43:</w:t>
      </w:r>
      <w:r>
        <w:t>2492</w:t>
      </w:r>
      <w:r w:rsidRPr="00820C33">
        <w:t xml:space="preserve"> (December 2017)</w:t>
      </w:r>
      <w:r w:rsidRPr="002C288C">
        <w:t>, LR 45:</w:t>
      </w:r>
      <w:r>
        <w:t>1751</w:t>
      </w:r>
      <w:r w:rsidRPr="002C288C">
        <w:t xml:space="preserve"> (December 2019)</w:t>
      </w:r>
      <w:r>
        <w:t>,</w:t>
      </w:r>
      <w:r w:rsidRPr="003C373C">
        <w:rPr>
          <w:color w:val="0D0D0D"/>
        </w:rPr>
        <w:t xml:space="preserve"> LR 46:</w:t>
      </w:r>
      <w:r>
        <w:rPr>
          <w:color w:val="0D0D0D"/>
        </w:rPr>
        <w:t>324 (March 2020</w:t>
      </w:r>
      <w:r w:rsidRPr="00F07D10">
        <w:rPr>
          <w:color w:val="0D0D0D"/>
        </w:rPr>
        <w:t>), LR: 48:</w:t>
      </w:r>
      <w:r>
        <w:rPr>
          <w:color w:val="0D0D0D"/>
        </w:rPr>
        <w:t>1274 (May 2022</w:t>
      </w:r>
      <w:r w:rsidRPr="005B2431">
        <w:rPr>
          <w:color w:val="0D0D0D"/>
          <w:szCs w:val="18"/>
        </w:rPr>
        <w:t>), LR 48:</w:t>
      </w:r>
      <w:r>
        <w:rPr>
          <w:color w:val="0D0D0D"/>
          <w:szCs w:val="18"/>
        </w:rPr>
        <w:t>1759 (July 2022</w:t>
      </w:r>
      <w:r w:rsidRPr="003A0777">
        <w:rPr>
          <w:color w:val="0D0D0D"/>
          <w:szCs w:val="18"/>
        </w:rPr>
        <w:t>),</w:t>
      </w:r>
      <w:r w:rsidRPr="003A0777">
        <w:t xml:space="preserve"> </w:t>
      </w:r>
      <w:r w:rsidRPr="003A0777">
        <w:rPr>
          <w:color w:val="0D0D0D"/>
        </w:rPr>
        <w:t>LR 4</w:t>
      </w:r>
      <w:r>
        <w:rPr>
          <w:color w:val="0D0D0D"/>
        </w:rPr>
        <w:t>9</w:t>
      </w:r>
      <w:r w:rsidRPr="003A0777">
        <w:rPr>
          <w:color w:val="0D0D0D"/>
        </w:rPr>
        <w:t>:</w:t>
      </w:r>
      <w:r>
        <w:rPr>
          <w:color w:val="0D0D0D"/>
        </w:rPr>
        <w:t>41 (January 2023</w:t>
      </w:r>
      <w:r>
        <w:t xml:space="preserve">), </w:t>
      </w:r>
      <w:r w:rsidRPr="00B124F8">
        <w:t>LR 4</w:t>
      </w:r>
      <w:r>
        <w:t>9</w:t>
      </w:r>
      <w:r w:rsidRPr="00B124F8">
        <w:t>:</w:t>
      </w:r>
      <w:r>
        <w:t xml:space="preserve">246 (February 2023), </w:t>
      </w:r>
      <w:r w:rsidRPr="00B124F8">
        <w:t>LR 4</w:t>
      </w:r>
      <w:r>
        <w:t>9</w:t>
      </w:r>
      <w:r w:rsidRPr="00B124F8">
        <w:t>:</w:t>
      </w:r>
      <w:r>
        <w:t>256 (February 2023</w:t>
      </w:r>
      <w:r w:rsidRPr="00D079F5">
        <w:t>)</w:t>
      </w:r>
      <w:r>
        <w:t>, repromulgated LR 49:852 (May 2023), LR 50:20 (January 2024</w:t>
      </w:r>
      <w:r w:rsidRPr="00F84319">
        <w:t xml:space="preserve">), </w:t>
      </w:r>
      <w:r>
        <w:t xml:space="preserve">amended </w:t>
      </w:r>
      <w:r w:rsidRPr="00F84319">
        <w:t xml:space="preserve">LR </w:t>
      </w:r>
      <w:r>
        <w:t xml:space="preserve">50:678 (May 2024), LR 51:273 (February 2025), </w:t>
      </w:r>
      <w:r w:rsidRPr="00125D94">
        <w:t>LR 51:1130 (August 2025)</w:t>
      </w:r>
      <w:r>
        <w:t xml:space="preserve">, </w:t>
      </w:r>
      <w:r w:rsidRPr="008A1F5B">
        <w:t>LR 51:</w:t>
      </w:r>
      <w:r>
        <w:t>2050 (December 2025)</w:t>
      </w:r>
      <w:r>
        <w:rPr>
          <w:lang w:val="en-US"/>
        </w:rPr>
        <w:t>, LR 52:</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Family Impact Statement</w:t>
      </w:r>
    </w:p>
    <w:p w:rsidR="006377AB" w:rsidRPr="00750C47" w:rsidRDefault="006377AB" w:rsidP="006377AB">
      <w:pPr>
        <w:tabs>
          <w:tab w:val="left" w:pos="180"/>
          <w:tab w:val="left" w:pos="360"/>
          <w:tab w:val="left" w:pos="54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953 and 974 of title 49 of the Louisiana Revised Statutes, there is hereby submitted a Family Impact Statement on rules proposed for adoption, repeal, or amendment. All Family Impact Statements will be kept on file in the state board office which has adopted, amended, or repealed rules in accordance with the applicable provisions of the law relating to public records.</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stability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the authority and rights of parents regarding the education and supervision of their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Will the proposed Rule affect the functioning of the family?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family earnings and family budget?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the behavior and personal responsibility of children?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6.</w:t>
      </w:r>
      <w:r w:rsidRPr="00750C47">
        <w:rPr>
          <w:rFonts w:ascii="Times New Roman" w:hAnsi="Times New Roman" w:cs="Times New Roman"/>
          <w:sz w:val="20"/>
          <w:szCs w:val="20"/>
        </w:rPr>
        <w:tab/>
        <w:t>Is the family or local government able to perform the function as contained in the proposed Rule? Yes.</w:t>
      </w:r>
    </w:p>
    <w:p w:rsidR="006377AB" w:rsidRPr="00750C47" w:rsidRDefault="006377AB" w:rsidP="006377AB">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jc w:val="center"/>
        <w:rPr>
          <w:rFonts w:ascii="Times New Roman" w:hAnsi="Times New Roman" w:cs="Times New Roman"/>
          <w:b/>
          <w:sz w:val="20"/>
          <w:szCs w:val="20"/>
        </w:rPr>
      </w:pPr>
      <w:r w:rsidRPr="00750C47">
        <w:rPr>
          <w:rFonts w:ascii="Times New Roman" w:hAnsi="Times New Roman" w:cs="Times New Roman"/>
          <w:b/>
          <w:sz w:val="20"/>
          <w:szCs w:val="20"/>
        </w:rPr>
        <w:t>Poverty Impact Statement</w:t>
      </w:r>
    </w:p>
    <w:p w:rsidR="006377AB" w:rsidRPr="00750C47" w:rsidRDefault="006377AB" w:rsidP="006377AB">
      <w:pPr>
        <w:tabs>
          <w:tab w:val="left" w:pos="180"/>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In accordance with section 973 of title 49 of the Louisiana Revised Statutes, there is hereby submitted a Poverty Impact Statement on rules proposed for adoption, amendment, or repeal. All Poverty Impact Statements will be in writing and kept on file in the state agency which has adopted, amended, or repealed rules in accordance with the applicable provisions of the law relating to public records. For the purposes of this section, the word “poverty” means living at or below 100 percent of the federal poverty line.</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1.</w:t>
      </w:r>
      <w:r w:rsidRPr="00750C47">
        <w:rPr>
          <w:rFonts w:ascii="Times New Roman" w:hAnsi="Times New Roman" w:cs="Times New Roman"/>
          <w:sz w:val="20"/>
          <w:szCs w:val="20"/>
        </w:rPr>
        <w:tab/>
        <w:t>Will the proposed Rule affect the household income, assets, and financial authority?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2.</w:t>
      </w:r>
      <w:r w:rsidRPr="00750C47">
        <w:rPr>
          <w:rFonts w:ascii="Times New Roman" w:hAnsi="Times New Roman" w:cs="Times New Roman"/>
          <w:sz w:val="20"/>
          <w:szCs w:val="20"/>
        </w:rPr>
        <w:tab/>
        <w:t>Will the proposed Rule affect early childhood development and preschool through postsecondary education development? No.</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3.</w:t>
      </w:r>
      <w:r w:rsidRPr="00750C47">
        <w:rPr>
          <w:rFonts w:ascii="Times New Roman" w:hAnsi="Times New Roman" w:cs="Times New Roman"/>
          <w:sz w:val="20"/>
          <w:szCs w:val="20"/>
        </w:rPr>
        <w:tab/>
        <w:t xml:space="preserve">Will the proposed Rule affect employment and workforce development? </w:t>
      </w:r>
      <w:r w:rsidR="00577041">
        <w:rPr>
          <w:rFonts w:ascii="Times New Roman" w:hAnsi="Times New Roman" w:cs="Times New Roman"/>
          <w:sz w:val="20"/>
          <w:szCs w:val="20"/>
        </w:rPr>
        <w:t>Yes</w:t>
      </w:r>
      <w:r w:rsidRPr="00750C47">
        <w:rPr>
          <w:rFonts w:ascii="Times New Roman" w:hAnsi="Times New Roman" w:cs="Times New Roman"/>
          <w:sz w:val="20"/>
          <w:szCs w:val="20"/>
        </w:rPr>
        <w:t>.</w:t>
      </w:r>
    </w:p>
    <w:p w:rsidR="006377AB" w:rsidRPr="00750C47" w:rsidRDefault="006377AB" w:rsidP="006377AB">
      <w:pPr>
        <w:tabs>
          <w:tab w:val="left" w:pos="360"/>
          <w:tab w:val="left" w:pos="630"/>
          <w:tab w:val="left" w:pos="720"/>
        </w:tabs>
        <w:spacing w:after="60"/>
        <w:jc w:val="both"/>
        <w:rPr>
          <w:rFonts w:ascii="Times New Roman" w:hAnsi="Times New Roman" w:cs="Times New Roman"/>
          <w:sz w:val="20"/>
          <w:szCs w:val="20"/>
        </w:rPr>
      </w:pPr>
      <w:r w:rsidRPr="00750C47">
        <w:rPr>
          <w:rFonts w:ascii="Times New Roman" w:hAnsi="Times New Roman" w:cs="Times New Roman"/>
          <w:sz w:val="20"/>
          <w:szCs w:val="20"/>
        </w:rPr>
        <w:t>4.</w:t>
      </w:r>
      <w:r w:rsidRPr="00750C47">
        <w:rPr>
          <w:rFonts w:ascii="Times New Roman" w:hAnsi="Times New Roman" w:cs="Times New Roman"/>
          <w:sz w:val="20"/>
          <w:szCs w:val="20"/>
        </w:rPr>
        <w:tab/>
        <w:t>Will the proposed Rule affect taxes and tax credits? No.</w:t>
      </w:r>
    </w:p>
    <w:p w:rsidR="00AB58F2" w:rsidRPr="000F7616" w:rsidRDefault="006377AB" w:rsidP="006377AB">
      <w:pPr>
        <w:tabs>
          <w:tab w:val="left" w:pos="360"/>
          <w:tab w:val="left" w:pos="630"/>
          <w:tab w:val="left" w:pos="720"/>
        </w:tabs>
        <w:spacing w:after="60"/>
        <w:jc w:val="both"/>
      </w:pPr>
      <w:r w:rsidRPr="00750C47">
        <w:rPr>
          <w:rFonts w:ascii="Times New Roman" w:hAnsi="Times New Roman" w:cs="Times New Roman"/>
          <w:sz w:val="20"/>
          <w:szCs w:val="20"/>
        </w:rPr>
        <w:t>5.</w:t>
      </w:r>
      <w:r w:rsidRPr="00750C47">
        <w:rPr>
          <w:rFonts w:ascii="Times New Roman" w:hAnsi="Times New Roman" w:cs="Times New Roman"/>
          <w:sz w:val="20"/>
          <w:szCs w:val="20"/>
        </w:rPr>
        <w:tab/>
        <w:t>Will the proposed Rule affect child and dependent care, housing, health care, nutrition, transportation, and utilities assistance? No.</w:t>
      </w:r>
    </w:p>
    <w:p w:rsidR="00D4464B" w:rsidRPr="000F7616" w:rsidRDefault="00D4464B" w:rsidP="00D4464B">
      <w:pPr>
        <w:tabs>
          <w:tab w:val="left" w:pos="1140"/>
        </w:tabs>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Small Business Analysis</w:t>
      </w:r>
    </w:p>
    <w:p w:rsidR="00CC7154" w:rsidRPr="00702954" w:rsidRDefault="00CC7154" w:rsidP="00CC7154">
      <w:pPr>
        <w:tabs>
          <w:tab w:val="left" w:pos="1140"/>
        </w:tabs>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The impact of the proposed Rule on small businesses as defined in the Regulatory Flexibility Act has been considered. It is estimated that the proposed action is not expected to have a significant adverse impact on small businesses. The agency, consistent with health, safety, environmental and economic welfare factors has considered and, where possible, utilized regulatory methods in the drafting of the proposed rule that will accomplish the objectives of applicable statutes while minimizing the adverse impact of the proposed rule on small businesses.</w:t>
      </w:r>
    </w:p>
    <w:p w:rsidR="00D4464B" w:rsidRPr="000F7616" w:rsidRDefault="00D4464B" w:rsidP="00D4464B">
      <w:pPr>
        <w:jc w:val="center"/>
        <w:rPr>
          <w:rFonts w:ascii="Times New Roman" w:eastAsia="Times New Roman" w:hAnsi="Times New Roman" w:cs="Times New Roman"/>
          <w:sz w:val="20"/>
          <w:szCs w:val="20"/>
        </w:rPr>
      </w:pPr>
      <w:r w:rsidRPr="000F7616">
        <w:rPr>
          <w:rFonts w:ascii="Times New Roman" w:eastAsia="Times New Roman" w:hAnsi="Times New Roman" w:cs="Times New Roman"/>
          <w:b/>
          <w:sz w:val="20"/>
          <w:szCs w:val="20"/>
        </w:rPr>
        <w:t>Provider Impact Statement</w:t>
      </w:r>
    </w:p>
    <w:p w:rsidR="00D4464B" w:rsidRPr="000F7616" w:rsidRDefault="00D4464B" w:rsidP="00D4464B">
      <w:pPr>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The proposed Rule should not have any known or foreseeable impact on providers as defined by HCR 170 of 2014 Regular Legislative Session. In particular, there should be no known or foreseeable effect on:</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1.</w:t>
      </w:r>
      <w:r w:rsidRPr="000F7616">
        <w:rPr>
          <w:rFonts w:ascii="Times New Roman" w:eastAsia="Times New Roman" w:hAnsi="Times New Roman" w:cs="Times New Roman"/>
          <w:sz w:val="20"/>
          <w:szCs w:val="20"/>
        </w:rPr>
        <w:tab/>
        <w:t>the effect on the staffing level requirements or qualifications required to provide the same level of service;</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2.</w:t>
      </w:r>
      <w:r w:rsidRPr="000F7616">
        <w:rPr>
          <w:rFonts w:ascii="Times New Roman" w:eastAsia="Times New Roman" w:hAnsi="Times New Roman" w:cs="Times New Roman"/>
          <w:sz w:val="20"/>
          <w:szCs w:val="20"/>
        </w:rPr>
        <w:tab/>
        <w:t>the total direct and indirect effect on the cost to the providers to provide the same level of service; or</w:t>
      </w:r>
    </w:p>
    <w:p w:rsidR="00D4464B" w:rsidRPr="000F7616" w:rsidRDefault="00D4464B" w:rsidP="00D4464B">
      <w:pPr>
        <w:tabs>
          <w:tab w:val="left" w:pos="720"/>
          <w:tab w:val="left" w:pos="1080"/>
        </w:tabs>
        <w:ind w:firstLine="720"/>
        <w:jc w:val="both"/>
        <w:rPr>
          <w:rFonts w:ascii="Times New Roman" w:eastAsia="Times New Roman" w:hAnsi="Times New Roman" w:cs="Times New Roman"/>
          <w:sz w:val="20"/>
          <w:szCs w:val="20"/>
        </w:rPr>
      </w:pPr>
      <w:r w:rsidRPr="000F7616">
        <w:rPr>
          <w:rFonts w:ascii="Times New Roman" w:eastAsia="Times New Roman" w:hAnsi="Times New Roman" w:cs="Times New Roman"/>
          <w:sz w:val="20"/>
          <w:szCs w:val="20"/>
        </w:rPr>
        <w:t>3.</w:t>
      </w:r>
      <w:r w:rsidRPr="000F7616">
        <w:rPr>
          <w:rFonts w:ascii="Times New Roman" w:eastAsia="Times New Roman" w:hAnsi="Times New Roman" w:cs="Times New Roman"/>
          <w:sz w:val="20"/>
          <w:szCs w:val="20"/>
        </w:rPr>
        <w:tab/>
        <w:t>the overall effect on the ability of the provider to provide the same level of service.</w:t>
      </w:r>
    </w:p>
    <w:p w:rsidR="00D4464B" w:rsidRPr="000F7616" w:rsidRDefault="00D4464B" w:rsidP="00D4464B">
      <w:pPr>
        <w:jc w:val="center"/>
        <w:rPr>
          <w:rFonts w:ascii="Times New Roman" w:eastAsia="Times New Roman" w:hAnsi="Times New Roman" w:cs="Times New Roman"/>
          <w:b/>
          <w:sz w:val="20"/>
          <w:szCs w:val="20"/>
        </w:rPr>
      </w:pPr>
      <w:r w:rsidRPr="000F7616">
        <w:rPr>
          <w:rFonts w:ascii="Times New Roman" w:eastAsia="Times New Roman" w:hAnsi="Times New Roman" w:cs="Times New Roman"/>
          <w:b/>
          <w:sz w:val="20"/>
          <w:szCs w:val="20"/>
        </w:rPr>
        <w:t>Public Comments</w:t>
      </w:r>
    </w:p>
    <w:p w:rsidR="00577041" w:rsidRPr="00702954" w:rsidRDefault="00577041" w:rsidP="00577041">
      <w:pPr>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Interested persons may submit written comments via the U.S. Ma</w:t>
      </w:r>
      <w:r>
        <w:rPr>
          <w:rFonts w:ascii="Times New Roman" w:eastAsia="Times New Roman" w:hAnsi="Times New Roman" w:cs="Times New Roman"/>
          <w:sz w:val="20"/>
          <w:szCs w:val="20"/>
        </w:rPr>
        <w:t>il until noon, August 10, 2026</w:t>
      </w:r>
      <w:r w:rsidRPr="00702954">
        <w:rPr>
          <w:rFonts w:ascii="Times New Roman" w:eastAsia="Times New Roman" w:hAnsi="Times New Roman" w:cs="Times New Roman"/>
          <w:sz w:val="20"/>
          <w:szCs w:val="20"/>
        </w:rPr>
        <w:t>, to Tavares Walker, Executive Director, Board of Elementary and Secondary Education, Box 94064, Capitol Station, Baton Rouge, LA 70804-</w:t>
      </w:r>
      <w:r w:rsidRPr="00702954">
        <w:rPr>
          <w:rFonts w:ascii="Times New Roman" w:eastAsia="Times New Roman" w:hAnsi="Times New Roman" w:cs="Times New Roman"/>
          <w:sz w:val="20"/>
          <w:szCs w:val="20"/>
        </w:rPr>
        <w:lastRenderedPageBreak/>
        <w:t>9064. Written comments may also be hand delivered to Tavares Walker, Executive Director, Board of Elementary and Secondary Education, Suite 5-190, 1201 North Third Street, Baton Rouge, LA 70802 and must be date stamped by the BESE office on the date received. Public comments must be dated and include the original signature of the person submitting the comments.</w:t>
      </w:r>
    </w:p>
    <w:p w:rsidR="00CC7154" w:rsidRPr="00702954" w:rsidRDefault="00CC7154" w:rsidP="00CC7154">
      <w:pPr>
        <w:jc w:val="both"/>
        <w:rPr>
          <w:rFonts w:ascii="Times New Roman" w:eastAsia="Times New Roman" w:hAnsi="Times New Roman" w:cs="Times New Roman"/>
          <w:sz w:val="20"/>
          <w:szCs w:val="20"/>
        </w:rPr>
      </w:pPr>
      <w:r w:rsidRPr="00702954">
        <w:rPr>
          <w:rFonts w:ascii="Times New Roman" w:eastAsia="Times New Roman" w:hAnsi="Times New Roman" w:cs="Times New Roman"/>
          <w:sz w:val="20"/>
          <w:szCs w:val="20"/>
        </w:rPr>
        <w:t>.</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Tavares A. Walker</w:t>
      </w:r>
    </w:p>
    <w:p w:rsidR="006377AB" w:rsidRPr="00750C47" w:rsidRDefault="006377AB" w:rsidP="006377AB">
      <w:pPr>
        <w:ind w:left="6840" w:firstLine="360"/>
        <w:jc w:val="both"/>
        <w:rPr>
          <w:rFonts w:ascii="Times New Roman" w:hAnsi="Times New Roman" w:cs="Times New Roman"/>
          <w:sz w:val="20"/>
          <w:szCs w:val="20"/>
        </w:rPr>
      </w:pPr>
      <w:r w:rsidRPr="00750C47">
        <w:rPr>
          <w:rFonts w:ascii="Times New Roman" w:hAnsi="Times New Roman" w:cs="Times New Roman"/>
          <w:sz w:val="20"/>
          <w:szCs w:val="20"/>
        </w:rPr>
        <w:t>Executive Director</w:t>
      </w:r>
    </w:p>
    <w:p w:rsidR="006377AB" w:rsidRDefault="006377AB"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Default="004F6187" w:rsidP="00C57792">
      <w:pPr>
        <w:pStyle w:val="WPNormal"/>
        <w:tabs>
          <w:tab w:val="left" w:pos="-720"/>
          <w:tab w:val="left" w:pos="0"/>
          <w:tab w:val="left" w:pos="720"/>
          <w:tab w:val="left" w:pos="1440"/>
          <w:tab w:val="left" w:pos="2160"/>
          <w:tab w:val="left" w:pos="2880"/>
        </w:tabs>
        <w:jc w:val="center"/>
        <w:rPr>
          <w:rFonts w:ascii="Times New Roman" w:hAnsi="Times New Roman"/>
          <w:b/>
          <w:sz w:val="20"/>
        </w:rPr>
      </w:pPr>
      <w:r w:rsidRPr="00DE47B6">
        <w:rPr>
          <w:rFonts w:ascii="Times New Roman" w:hAnsi="Times New Roman"/>
          <w:b/>
          <w:sz w:val="20"/>
        </w:rPr>
        <w:t>FISCAL AND ECONOMIC IMPACT STATEMENT</w:t>
      </w:r>
      <w:r w:rsidR="006377AB">
        <w:rPr>
          <w:rFonts w:ascii="Times New Roman" w:hAnsi="Times New Roman"/>
          <w:b/>
          <w:sz w:val="20"/>
        </w:rPr>
        <w:t xml:space="preserve"> </w:t>
      </w:r>
      <w:r w:rsidRPr="00DE47B6">
        <w:rPr>
          <w:rFonts w:ascii="Times New Roman" w:hAnsi="Times New Roman"/>
          <w:b/>
          <w:sz w:val="20"/>
        </w:rPr>
        <w:t>FOR ADMINISTRATIVE RULES</w:t>
      </w:r>
    </w:p>
    <w:p w:rsidR="00577041" w:rsidRPr="00577041" w:rsidRDefault="00C57792" w:rsidP="00577041">
      <w:pPr>
        <w:keepNext/>
        <w:jc w:val="center"/>
        <w:rPr>
          <w:rFonts w:ascii="Times New Roman" w:eastAsia="Times New Roman" w:hAnsi="Times New Roman" w:cs="Times New Roman"/>
          <w:b/>
          <w:i/>
          <w:noProof/>
          <w:sz w:val="20"/>
          <w:szCs w:val="20"/>
        </w:rPr>
      </w:pPr>
      <w:r>
        <w:rPr>
          <w:rFonts w:ascii="Times New Roman" w:hAnsi="Times New Roman"/>
          <w:b/>
          <w:sz w:val="20"/>
        </w:rPr>
        <w:t xml:space="preserve">RULE TITLE: </w:t>
      </w:r>
      <w:r w:rsidR="00577041" w:rsidRPr="00577041">
        <w:rPr>
          <w:rFonts w:ascii="Times New Roman" w:eastAsia="Times New Roman" w:hAnsi="Times New Roman" w:cs="Times New Roman"/>
          <w:b/>
          <w:i/>
          <w:noProof/>
          <w:sz w:val="20"/>
          <w:szCs w:val="20"/>
        </w:rPr>
        <w:t>Bulletin 996—Standards for Approval of Teacher and/or Educational Leader Preparation Programs</w:t>
      </w:r>
    </w:p>
    <w:p w:rsidR="00C57792" w:rsidRPr="00577041" w:rsidRDefault="00577041" w:rsidP="00577041">
      <w:pPr>
        <w:keepNext/>
        <w:jc w:val="center"/>
        <w:rPr>
          <w:rFonts w:ascii="Times New Roman" w:hAnsi="Times New Roman"/>
          <w:b/>
          <w:sz w:val="20"/>
        </w:rPr>
      </w:pPr>
      <w:r w:rsidRPr="00577041">
        <w:rPr>
          <w:rFonts w:ascii="Times New Roman" w:eastAsia="Times New Roman" w:hAnsi="Times New Roman" w:cs="Times New Roman"/>
          <w:b/>
          <w:i/>
          <w:noProof/>
          <w:sz w:val="20"/>
          <w:szCs w:val="20"/>
        </w:rPr>
        <w:t>Bulletin 746—Louisiana Standards for State Certification of School Personnel</w:t>
      </w:r>
      <w:r w:rsidRPr="00577041">
        <w:rPr>
          <w:rFonts w:ascii="Times New Roman" w:eastAsia="Times New Roman" w:hAnsi="Times New Roman" w:cs="Times New Roman"/>
          <w:b/>
          <w:i/>
          <w:noProof/>
          <w:sz w:val="20"/>
          <w:szCs w:val="20"/>
        </w:rPr>
        <w:t xml:space="preserve"> </w:t>
      </w:r>
      <w:r w:rsidRPr="00577041">
        <w:rPr>
          <w:rFonts w:ascii="Times New Roman" w:eastAsia="Times New Roman" w:hAnsi="Times New Roman" w:cs="Times New Roman"/>
          <w:b/>
          <w:noProof/>
          <w:sz w:val="20"/>
          <w:szCs w:val="20"/>
        </w:rPr>
        <w:t>Teacher Preparation and Certification</w:t>
      </w:r>
    </w:p>
    <w:p w:rsidR="00C57792" w:rsidRPr="00DE47B6" w:rsidRDefault="00C57792" w:rsidP="004F6187">
      <w:pPr>
        <w:pStyle w:val="WPNormal"/>
        <w:tabs>
          <w:tab w:val="left" w:pos="-720"/>
          <w:tab w:val="left" w:pos="0"/>
          <w:tab w:val="left" w:pos="720"/>
          <w:tab w:val="left" w:pos="1440"/>
          <w:tab w:val="left" w:pos="2160"/>
          <w:tab w:val="left" w:pos="2880"/>
        </w:tabs>
        <w:jc w:val="center"/>
        <w:rPr>
          <w:rFonts w:ascii="Times New Roman" w:hAnsi="Times New Roman"/>
          <w:b/>
          <w:sz w:val="20"/>
        </w:rPr>
      </w:pPr>
    </w:p>
    <w:p w:rsidR="00C57792" w:rsidRPr="00C57792" w:rsidRDefault="004F6187" w:rsidP="00C57792">
      <w:pPr>
        <w:keepNext/>
        <w:widowControl w:val="0"/>
        <w:numPr>
          <w:ilvl w:val="0"/>
          <w:numId w:val="1"/>
        </w:numPr>
        <w:tabs>
          <w:tab w:val="left" w:pos="360"/>
        </w:tabs>
        <w:autoSpaceDE w:val="0"/>
        <w:autoSpaceDN w:val="0"/>
        <w:adjustRightInd w:val="0"/>
        <w:spacing w:after="60"/>
        <w:ind w:left="360" w:hanging="360"/>
        <w:jc w:val="both"/>
        <w:rPr>
          <w:rFonts w:ascii="Times New Roman" w:hAnsi="Times New Roman"/>
          <w:color w:val="222222"/>
          <w:sz w:val="20"/>
          <w:shd w:val="clear" w:color="auto" w:fill="FFFFFF"/>
        </w:rPr>
      </w:pPr>
      <w:r w:rsidRPr="00C57792">
        <w:rPr>
          <w:rFonts w:ascii="Times New Roman" w:hAnsi="Times New Roman"/>
          <w:sz w:val="20"/>
        </w:rPr>
        <w:t>ESTIMATED IMPLEMENTATION COSTS (SAVINGS) TO STATE OR LOCAL GOVERNMENTAL UNITS (</w:t>
      </w:r>
      <w:r w:rsidRPr="00C57792">
        <w:rPr>
          <w:rFonts w:ascii="Times New Roman" w:hAnsi="Times New Roman" w:cs="Times New Roman"/>
          <w:sz w:val="20"/>
          <w:szCs w:val="20"/>
        </w:rPr>
        <w:t>Summary</w:t>
      </w:r>
      <w:r w:rsidRPr="00C57792">
        <w:rPr>
          <w:rFonts w:ascii="Times New Roman" w:hAnsi="Times New Roman"/>
          <w:sz w:val="20"/>
        </w:rPr>
        <w:t>)</w:t>
      </w:r>
      <w:r w:rsidR="006C1C27" w:rsidRPr="00C57792">
        <w:rPr>
          <w:rFonts w:ascii="Times New Roman" w:hAnsi="Times New Roman"/>
          <w:sz w:val="20"/>
        </w:rPr>
        <w:tab/>
      </w:r>
    </w:p>
    <w:p w:rsidR="00C6580E" w:rsidRPr="00C6580E" w:rsidRDefault="00577041" w:rsidP="00277A44">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FA2D18">
        <w:rPr>
          <w:rFonts w:ascii="Times New Roman" w:hAnsi="Times New Roman"/>
          <w:sz w:val="20"/>
        </w:rPr>
        <w:t xml:space="preserve">There are no anticipated implementation costs or savings to state or local governmental units as a result of the proposed rule change. The proposed </w:t>
      </w:r>
      <w:r>
        <w:rPr>
          <w:rFonts w:ascii="Times New Roman" w:hAnsi="Times New Roman"/>
          <w:sz w:val="20"/>
        </w:rPr>
        <w:t xml:space="preserve">rule </w:t>
      </w:r>
      <w:r w:rsidRPr="00FA2D18">
        <w:rPr>
          <w:rFonts w:ascii="Times New Roman" w:hAnsi="Times New Roman"/>
          <w:sz w:val="20"/>
        </w:rPr>
        <w:t xml:space="preserve">change amends LAC 28:CXXXI in </w:t>
      </w:r>
      <w:r w:rsidRPr="00FA2D18">
        <w:rPr>
          <w:rFonts w:ascii="Times New Roman" w:hAnsi="Times New Roman"/>
          <w:i/>
          <w:sz w:val="20"/>
        </w:rPr>
        <w:t>Bulletin 746—Louisiana Standards for State Certification of School Personnel</w:t>
      </w:r>
      <w:r w:rsidRPr="00FA2D18">
        <w:rPr>
          <w:rFonts w:ascii="Times New Roman" w:hAnsi="Times New Roman"/>
          <w:sz w:val="20"/>
        </w:rPr>
        <w:t xml:space="preserve"> </w:t>
      </w:r>
      <w:r>
        <w:rPr>
          <w:rFonts w:ascii="Times New Roman" w:hAnsi="Times New Roman"/>
          <w:sz w:val="20"/>
        </w:rPr>
        <w:t xml:space="preserve">and LAC 28:XLV in </w:t>
      </w:r>
      <w:r w:rsidRPr="00355DBC">
        <w:rPr>
          <w:rFonts w:ascii="Times New Roman" w:hAnsi="Times New Roman"/>
          <w:i/>
          <w:noProof/>
          <w:sz w:val="20"/>
        </w:rPr>
        <w:t>Bulletin 996—Standards for Approval of Teacher and/or Educational Leader Preparation Programs</w:t>
      </w:r>
      <w:r w:rsidRPr="00FA2D18">
        <w:rPr>
          <w:rFonts w:ascii="Times New Roman" w:hAnsi="Times New Roman"/>
          <w:sz w:val="20"/>
        </w:rPr>
        <w:t xml:space="preserve"> to </w:t>
      </w:r>
      <w:r>
        <w:rPr>
          <w:rFonts w:ascii="Times New Roman" w:hAnsi="Times New Roman"/>
          <w:sz w:val="20"/>
        </w:rPr>
        <w:t>provide for a</w:t>
      </w:r>
      <w:r w:rsidRPr="00FA2D18">
        <w:rPr>
          <w:rFonts w:ascii="Times New Roman" w:hAnsi="Times New Roman"/>
          <w:sz w:val="20"/>
        </w:rPr>
        <w:t xml:space="preserve"> pre-practitioner license </w:t>
      </w:r>
      <w:r>
        <w:rPr>
          <w:rFonts w:ascii="Times New Roman" w:hAnsi="Times New Roman"/>
          <w:sz w:val="20"/>
        </w:rPr>
        <w:t xml:space="preserve">aligned </w:t>
      </w:r>
      <w:r w:rsidRPr="00FA2D18">
        <w:rPr>
          <w:rFonts w:ascii="Times New Roman" w:hAnsi="Times New Roman"/>
          <w:sz w:val="20"/>
        </w:rPr>
        <w:t xml:space="preserve">with the provisional admission of candidates into alternate teacher </w:t>
      </w:r>
      <w:r>
        <w:rPr>
          <w:rFonts w:ascii="Times New Roman" w:hAnsi="Times New Roman"/>
          <w:sz w:val="20"/>
        </w:rPr>
        <w:t>preparation</w:t>
      </w:r>
      <w:r w:rsidRPr="00FA2D18">
        <w:rPr>
          <w:rFonts w:ascii="Times New Roman" w:hAnsi="Times New Roman"/>
          <w:sz w:val="20"/>
        </w:rPr>
        <w:t xml:space="preserve"> programs, establish renewal requirements for the license, and clarify the coursework, content-examination, and mentoring requirements applicable to candidates who hold the license. The </w:t>
      </w:r>
      <w:r>
        <w:rPr>
          <w:rFonts w:ascii="Times New Roman" w:hAnsi="Times New Roman"/>
          <w:sz w:val="20"/>
        </w:rPr>
        <w:t>Louisiana Department of Education (LDOE)</w:t>
      </w:r>
      <w:r w:rsidRPr="00FA2D18">
        <w:rPr>
          <w:rFonts w:ascii="Times New Roman" w:hAnsi="Times New Roman"/>
          <w:sz w:val="20"/>
        </w:rPr>
        <w:t xml:space="preserve"> will process pre-practitioner license requests and renewals within existing certification resources. No new staff, systems, or appropriations are required to implement the proposed change</w:t>
      </w:r>
      <w:r w:rsidR="00277A44" w:rsidRPr="00277A44">
        <w:rPr>
          <w:rFonts w:ascii="Times New Roman" w:hAnsi="Times New Roman"/>
          <w:sz w:val="20"/>
        </w:rPr>
        <w:t>.</w:t>
      </w:r>
    </w:p>
    <w:p w:rsidR="00C57792" w:rsidRPr="00C57792" w:rsidRDefault="004F6187" w:rsidP="00C5779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C57792">
        <w:rPr>
          <w:rFonts w:ascii="Times New Roman" w:hAnsi="Times New Roman"/>
          <w:sz w:val="20"/>
        </w:rPr>
        <w:t>ESTIMATED EFFECT ON REVENUE COLLECTIONS OF STATE OR LOCAL GOVERNMENTAL UNITS (Summary)</w:t>
      </w:r>
      <w:r w:rsidR="008C4A02" w:rsidRPr="00C57792">
        <w:rPr>
          <w:rFonts w:ascii="Times New Roman" w:hAnsi="Times New Roman"/>
          <w:sz w:val="20"/>
        </w:rPr>
        <w:tab/>
      </w:r>
    </w:p>
    <w:p w:rsidR="00C6580E" w:rsidRPr="00C6580E" w:rsidRDefault="00577041" w:rsidP="00C6580E">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8F3F42">
        <w:rPr>
          <w:rFonts w:ascii="Times New Roman" w:hAnsi="Times New Roman"/>
          <w:sz w:val="20"/>
        </w:rPr>
        <w:t>There is no anticipated effect on the revenue collections of state or local governmental units as a result of the proposed rule change</w:t>
      </w:r>
      <w:r w:rsidR="00C6580E" w:rsidRPr="00C6580E">
        <w:rPr>
          <w:rFonts w:ascii="Times New Roman" w:hAnsi="Times New Roman"/>
          <w:sz w:val="20"/>
        </w:rPr>
        <w:t>.</w:t>
      </w:r>
    </w:p>
    <w:p w:rsidR="00680EAE" w:rsidRPr="00DE47B6" w:rsidRDefault="004F6187" w:rsidP="008C4A02">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hanging="360"/>
        <w:rPr>
          <w:rFonts w:ascii="Times New Roman" w:hAnsi="Times New Roman"/>
          <w:sz w:val="20"/>
        </w:rPr>
      </w:pPr>
      <w:r w:rsidRPr="00DE47B6">
        <w:rPr>
          <w:rFonts w:ascii="Times New Roman" w:hAnsi="Times New Roman"/>
          <w:sz w:val="20"/>
        </w:rPr>
        <w:t>ESTIMATED COSTS AND/OR ECONOMIC BENEFITS TO DIRECTLY AFFECTED PERSONS, SMALL BUSINESSES, OR NON-GOVERNMENTAL GROUPS (Summary)</w:t>
      </w:r>
      <w:r w:rsidR="008C4A02" w:rsidRPr="00DE47B6">
        <w:rPr>
          <w:rFonts w:ascii="Times New Roman" w:hAnsi="Times New Roman"/>
          <w:sz w:val="20"/>
        </w:rPr>
        <w:tab/>
      </w:r>
    </w:p>
    <w:p w:rsidR="00B975B8" w:rsidRPr="00DE47B6" w:rsidRDefault="00577041" w:rsidP="00C57792">
      <w:pPr>
        <w:pStyle w:val="WPNormal"/>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rPr>
          <w:rFonts w:ascii="Times New Roman" w:hAnsi="Times New Roman"/>
          <w:sz w:val="20"/>
        </w:rPr>
      </w:pPr>
      <w:r w:rsidRPr="00FA2D18">
        <w:rPr>
          <w:rFonts w:ascii="Times New Roman" w:hAnsi="Times New Roman"/>
          <w:sz w:val="20"/>
        </w:rPr>
        <w:t xml:space="preserve">The proposed rule change may result in economic benefits to candidates seeking certification through alternate teacher preparation programs. By aligning the pre-practitioner license with provisional admission, the proposed change allows candidates who have not yet earned a passing score on the required content examination to be provisionally admitted, complete a limited amount of coursework, and serve under a pre-practitioner license while completing certification requirements, which may reduce barriers to entry into the educator workforce. The proposed </w:t>
      </w:r>
      <w:r>
        <w:rPr>
          <w:rFonts w:ascii="Times New Roman" w:hAnsi="Times New Roman"/>
          <w:sz w:val="20"/>
        </w:rPr>
        <w:t xml:space="preserve">rule </w:t>
      </w:r>
      <w:r w:rsidRPr="00FA2D18">
        <w:rPr>
          <w:rFonts w:ascii="Times New Roman" w:hAnsi="Times New Roman"/>
          <w:sz w:val="20"/>
        </w:rPr>
        <w:t xml:space="preserve">change does not impose new fees, costs, or paperwork requirements beyond the existing </w:t>
      </w:r>
      <w:r>
        <w:rPr>
          <w:rFonts w:ascii="Times New Roman" w:hAnsi="Times New Roman"/>
          <w:sz w:val="20"/>
        </w:rPr>
        <w:t xml:space="preserve">application </w:t>
      </w:r>
      <w:r w:rsidRPr="00FA2D18">
        <w:rPr>
          <w:rFonts w:ascii="Times New Roman" w:hAnsi="Times New Roman"/>
          <w:sz w:val="20"/>
        </w:rPr>
        <w:t>pr</w:t>
      </w:r>
      <w:r>
        <w:rPr>
          <w:rFonts w:ascii="Times New Roman" w:hAnsi="Times New Roman"/>
          <w:sz w:val="20"/>
        </w:rPr>
        <w:t>ocess</w:t>
      </w:r>
      <w:r w:rsidR="00277A44" w:rsidRPr="006D0ADE">
        <w:rPr>
          <w:rFonts w:ascii="Times New Roman" w:hAnsi="Times New Roman"/>
          <w:sz w:val="20"/>
        </w:rPr>
        <w:t>.</w:t>
      </w:r>
      <w:r w:rsidR="00C6580E" w:rsidRPr="00C6580E">
        <w:rPr>
          <w:rFonts w:ascii="Times New Roman" w:hAnsi="Times New Roman"/>
          <w:sz w:val="20"/>
        </w:rPr>
        <w:t xml:space="preserve"> </w:t>
      </w:r>
      <w:r w:rsidR="004C6C7B" w:rsidRPr="00DE47B6">
        <w:rPr>
          <w:rFonts w:ascii="Times New Roman" w:hAnsi="Times New Roman"/>
          <w:sz w:val="20"/>
        </w:rPr>
        <w:t xml:space="preserve"> </w:t>
      </w:r>
    </w:p>
    <w:p w:rsidR="000F7616" w:rsidRPr="00C57792" w:rsidRDefault="004F6187" w:rsidP="0048536F">
      <w:pPr>
        <w:pStyle w:val="WPNormal"/>
        <w:numPr>
          <w:ilvl w:val="0"/>
          <w:numId w:val="1"/>
        </w:numPr>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rPr>
          <w:rFonts w:ascii="Times New Roman" w:hAnsi="Times New Roman"/>
          <w:sz w:val="20"/>
        </w:rPr>
      </w:pPr>
      <w:r w:rsidRPr="00C57792">
        <w:rPr>
          <w:rFonts w:ascii="Times New Roman" w:hAnsi="Times New Roman"/>
          <w:sz w:val="20"/>
        </w:rPr>
        <w:t>ESTIMATED EFFECT ON COMPETITION AND EMPLOYMENT (Summary)</w:t>
      </w:r>
      <w:r w:rsidR="000F7616" w:rsidRPr="00C57792">
        <w:rPr>
          <w:rFonts w:ascii="Times New Roman" w:hAnsi="Times New Roman"/>
          <w:sz w:val="20"/>
        </w:rPr>
        <w:tab/>
      </w:r>
    </w:p>
    <w:p w:rsidR="000F7616" w:rsidRDefault="00577041" w:rsidP="00CC7154">
      <w:pPr>
        <w:pStyle w:val="WPNormal"/>
        <w:keepNext/>
        <w:keepLines/>
        <w:tabs>
          <w:tab w:val="left" w:pos="-720"/>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360"/>
        <w:jc w:val="left"/>
        <w:rPr>
          <w:rFonts w:ascii="Times New Roman" w:hAnsi="Times New Roman"/>
          <w:sz w:val="20"/>
        </w:rPr>
      </w:pPr>
      <w:r w:rsidRPr="00577041">
        <w:rPr>
          <w:rFonts w:ascii="Times New Roman" w:hAnsi="Times New Roman"/>
          <w:sz w:val="20"/>
        </w:rPr>
        <w:t>The proposed rule change may have a positive effect on employment by expanding access to alternate teacher certification pathways. Permitting the provisional admission of candidates who have not yet passed the required content examination, tog</w:t>
      </w:r>
      <w:bookmarkStart w:id="64" w:name="_GoBack"/>
      <w:bookmarkEnd w:id="64"/>
      <w:r w:rsidRPr="00577041">
        <w:rPr>
          <w:rFonts w:ascii="Times New Roman" w:hAnsi="Times New Roman"/>
          <w:sz w:val="20"/>
        </w:rPr>
        <w:t>ether with issuance of the pre-practitioner license, may increase the number of candidates entering the educator preparation pipeline and available to serve in Louisiana classrooms</w:t>
      </w:r>
      <w:r w:rsidR="00CC7154">
        <w:rPr>
          <w:rFonts w:ascii="Times New Roman" w:hAnsi="Times New Roman"/>
          <w:sz w:val="20"/>
        </w:rPr>
        <w:t>.</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Beth Scioneaux</w:t>
      </w:r>
      <w:r w:rsidRPr="00C57792">
        <w:rPr>
          <w:rFonts w:ascii="Times New Roman" w:hAnsi="Times New Roman" w:cs="Times New Roman"/>
          <w:sz w:val="20"/>
          <w:szCs w:val="20"/>
        </w:rPr>
        <w:tab/>
        <w:t>Patrice Thomas</w:t>
      </w:r>
    </w:p>
    <w:p w:rsidR="00C57792" w:rsidRPr="00C57792" w:rsidRDefault="00C57792" w:rsidP="00C57792">
      <w:pPr>
        <w:tabs>
          <w:tab w:val="left" w:pos="7560"/>
        </w:tabs>
        <w:jc w:val="both"/>
        <w:rPr>
          <w:rFonts w:ascii="Times New Roman" w:hAnsi="Times New Roman" w:cs="Times New Roman"/>
          <w:sz w:val="20"/>
          <w:szCs w:val="20"/>
        </w:rPr>
      </w:pPr>
      <w:r w:rsidRPr="00C57792">
        <w:rPr>
          <w:rFonts w:ascii="Times New Roman" w:hAnsi="Times New Roman" w:cs="Times New Roman"/>
          <w:sz w:val="20"/>
          <w:szCs w:val="20"/>
        </w:rPr>
        <w:t>Deputy Superintendent for Management and Finance</w:t>
      </w:r>
      <w:r w:rsidRPr="00C57792">
        <w:rPr>
          <w:rFonts w:ascii="Times New Roman" w:hAnsi="Times New Roman" w:cs="Times New Roman"/>
          <w:sz w:val="20"/>
          <w:szCs w:val="20"/>
        </w:rPr>
        <w:tab/>
        <w:t>Deputy Fiscal Officer</w:t>
      </w:r>
    </w:p>
    <w:p w:rsidR="00C57792" w:rsidRPr="00C57792" w:rsidRDefault="00C57792" w:rsidP="00C57792">
      <w:pPr>
        <w:tabs>
          <w:tab w:val="left" w:pos="7560"/>
        </w:tabs>
        <w:jc w:val="both"/>
        <w:rPr>
          <w:rFonts w:ascii="Times New Roman" w:hAnsi="Times New Roman" w:cs="Times New Roman"/>
          <w:sz w:val="20"/>
          <w:szCs w:val="20"/>
          <w:u w:val="single"/>
        </w:rPr>
      </w:pPr>
      <w:r w:rsidRPr="00C57792">
        <w:rPr>
          <w:rFonts w:ascii="Times New Roman" w:hAnsi="Times New Roman" w:cs="Times New Roman"/>
          <w:sz w:val="20"/>
          <w:szCs w:val="20"/>
        </w:rPr>
        <w:t>1905#</w:t>
      </w:r>
      <w:r w:rsidRPr="00C57792">
        <w:rPr>
          <w:rFonts w:ascii="Times New Roman" w:hAnsi="Times New Roman" w:cs="Times New Roman"/>
          <w:sz w:val="20"/>
          <w:szCs w:val="20"/>
        </w:rPr>
        <w:tab/>
        <w:t>Legislative Fiscal Office</w:t>
      </w:r>
    </w:p>
    <w:sectPr w:rsidR="00C57792" w:rsidRPr="00C57792" w:rsidSect="00C57792">
      <w:pgSz w:w="12240" w:h="20160"/>
      <w:pgMar w:top="1440" w:right="1080" w:bottom="54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71" w:rsidRDefault="00665971" w:rsidP="008C4A02">
      <w:r>
        <w:separator/>
      </w:r>
    </w:p>
  </w:endnote>
  <w:endnote w:type="continuationSeparator" w:id="0">
    <w:p w:rsidR="00665971" w:rsidRDefault="00665971" w:rsidP="008C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w:altName w:val="Book Antiqua"/>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71" w:rsidRDefault="00665971" w:rsidP="008C4A02">
      <w:r>
        <w:separator/>
      </w:r>
    </w:p>
  </w:footnote>
  <w:footnote w:type="continuationSeparator" w:id="0">
    <w:p w:rsidR="00665971" w:rsidRDefault="00665971" w:rsidP="008C4A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03AFF"/>
    <w:multiLevelType w:val="hybridMultilevel"/>
    <w:tmpl w:val="2A4894FA"/>
    <w:lvl w:ilvl="0" w:tplc="A41E9588">
      <w:start w:val="1"/>
      <w:numFmt w:val="upperLetter"/>
      <w:lvlText w:val="%1."/>
      <w:lvlJc w:val="left"/>
      <w:pPr>
        <w:ind w:left="740" w:hanging="360"/>
      </w:pPr>
      <w:rPr>
        <w:rFonts w:ascii="Palatino" w:hAnsi="Palatino" w:hint="default"/>
        <w:color w:val="000000"/>
      </w:r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1" w15:restartNumberingAfterBreak="0">
    <w:nsid w:val="0C4E41D6"/>
    <w:multiLevelType w:val="hybridMultilevel"/>
    <w:tmpl w:val="F6EA37F2"/>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2" w15:restartNumberingAfterBreak="0">
    <w:nsid w:val="25DE7ED9"/>
    <w:multiLevelType w:val="hybridMultilevel"/>
    <w:tmpl w:val="58A297B2"/>
    <w:lvl w:ilvl="0" w:tplc="B58A0C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70A58B8"/>
    <w:multiLevelType w:val="hybridMultilevel"/>
    <w:tmpl w:val="89DC1E7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C8E7BA5"/>
    <w:multiLevelType w:val="hybridMultilevel"/>
    <w:tmpl w:val="A6CEE080"/>
    <w:lvl w:ilvl="0" w:tplc="04090015">
      <w:start w:val="1"/>
      <w:numFmt w:val="upperLetter"/>
      <w:lvlText w:val="%1."/>
      <w:lvlJc w:val="left"/>
      <w:pPr>
        <w:tabs>
          <w:tab w:val="num" w:pos="720"/>
        </w:tabs>
        <w:ind w:left="720" w:hanging="360"/>
      </w:pPr>
    </w:lvl>
    <w:lvl w:ilvl="1" w:tplc="F0AA679A">
      <w:start w:val="1"/>
      <w:numFmt w:val="decimal"/>
      <w:lvlText w:val="(%2)"/>
      <w:lvlJc w:val="left"/>
      <w:pPr>
        <w:tabs>
          <w:tab w:val="num" w:pos="1080"/>
        </w:tabs>
        <w:ind w:left="1080" w:hanging="360"/>
      </w:pPr>
      <w:rPr>
        <w:rFonts w:hint="default"/>
      </w:rPr>
    </w:lvl>
    <w:lvl w:ilvl="2" w:tplc="12D6F100">
      <w:start w:val="1"/>
      <w:numFmt w:val="lowerLetter"/>
      <w:lvlText w:val="(%3)"/>
      <w:lvlJc w:val="left"/>
      <w:pPr>
        <w:ind w:left="180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CF6539"/>
    <w:multiLevelType w:val="hybridMultilevel"/>
    <w:tmpl w:val="0B3A35EA"/>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240A50"/>
    <w:multiLevelType w:val="multilevel"/>
    <w:tmpl w:val="FF2A9726"/>
    <w:styleLink w:val="CurrentList1"/>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C4504F1"/>
    <w:multiLevelType w:val="hybridMultilevel"/>
    <w:tmpl w:val="865AB1B4"/>
    <w:lvl w:ilvl="0" w:tplc="B06E964E">
      <w:start w:val="1"/>
      <w:numFmt w:val="decimal"/>
      <w:lvlText w:val="%1."/>
      <w:lvlJc w:val="left"/>
      <w:pPr>
        <w:tabs>
          <w:tab w:val="num" w:pos="740"/>
        </w:tabs>
        <w:ind w:left="740" w:hanging="36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8" w15:restartNumberingAfterBreak="0">
    <w:nsid w:val="60590F15"/>
    <w:multiLevelType w:val="hybridMultilevel"/>
    <w:tmpl w:val="FF2A9726"/>
    <w:lvl w:ilvl="0" w:tplc="5840F21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0762F51"/>
    <w:multiLevelType w:val="hybridMultilevel"/>
    <w:tmpl w:val="C2E8F394"/>
    <w:lvl w:ilvl="0" w:tplc="2584B9EA">
      <w:start w:val="1"/>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4"/>
  </w:num>
  <w:num w:numId="3">
    <w:abstractNumId w:val="1"/>
  </w:num>
  <w:num w:numId="4">
    <w:abstractNumId w:val="7"/>
  </w:num>
  <w:num w:numId="5">
    <w:abstractNumId w:val="3"/>
  </w:num>
  <w:num w:numId="6">
    <w:abstractNumId w:val="5"/>
  </w:num>
  <w:num w:numId="7">
    <w:abstractNumId w:val="6"/>
  </w:num>
  <w:num w:numId="8">
    <w:abstractNumId w:val="2"/>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187"/>
    <w:rsid w:val="00011048"/>
    <w:rsid w:val="0001401F"/>
    <w:rsid w:val="000827AB"/>
    <w:rsid w:val="00082CD2"/>
    <w:rsid w:val="000F3887"/>
    <w:rsid w:val="000F7616"/>
    <w:rsid w:val="0013704F"/>
    <w:rsid w:val="00157B4A"/>
    <w:rsid w:val="001649FC"/>
    <w:rsid w:val="00173517"/>
    <w:rsid w:val="00191E81"/>
    <w:rsid w:val="001B37C9"/>
    <w:rsid w:val="001E1F94"/>
    <w:rsid w:val="0020540E"/>
    <w:rsid w:val="0020649B"/>
    <w:rsid w:val="00216F23"/>
    <w:rsid w:val="002760D5"/>
    <w:rsid w:val="00277A44"/>
    <w:rsid w:val="00287A7E"/>
    <w:rsid w:val="00302D81"/>
    <w:rsid w:val="00307F36"/>
    <w:rsid w:val="0031758E"/>
    <w:rsid w:val="003455EA"/>
    <w:rsid w:val="00350DE1"/>
    <w:rsid w:val="00353899"/>
    <w:rsid w:val="003938A9"/>
    <w:rsid w:val="003C6C91"/>
    <w:rsid w:val="003C7D93"/>
    <w:rsid w:val="003D1396"/>
    <w:rsid w:val="003E3BD6"/>
    <w:rsid w:val="00400496"/>
    <w:rsid w:val="0041055E"/>
    <w:rsid w:val="00414390"/>
    <w:rsid w:val="00470A7C"/>
    <w:rsid w:val="004815F6"/>
    <w:rsid w:val="00493842"/>
    <w:rsid w:val="004C6C7B"/>
    <w:rsid w:val="004F29F5"/>
    <w:rsid w:val="004F6187"/>
    <w:rsid w:val="005631EA"/>
    <w:rsid w:val="00570751"/>
    <w:rsid w:val="00577041"/>
    <w:rsid w:val="005B49F9"/>
    <w:rsid w:val="00625862"/>
    <w:rsid w:val="0062633A"/>
    <w:rsid w:val="006377AB"/>
    <w:rsid w:val="00647B33"/>
    <w:rsid w:val="00656A6E"/>
    <w:rsid w:val="00665971"/>
    <w:rsid w:val="00680EAE"/>
    <w:rsid w:val="006B4BB2"/>
    <w:rsid w:val="006C1C27"/>
    <w:rsid w:val="006E37E3"/>
    <w:rsid w:val="006F45C8"/>
    <w:rsid w:val="0070759F"/>
    <w:rsid w:val="00750120"/>
    <w:rsid w:val="00796440"/>
    <w:rsid w:val="007C3E8C"/>
    <w:rsid w:val="007E34EE"/>
    <w:rsid w:val="00804B16"/>
    <w:rsid w:val="00825ABC"/>
    <w:rsid w:val="00825FE1"/>
    <w:rsid w:val="008339D9"/>
    <w:rsid w:val="008629F8"/>
    <w:rsid w:val="008857BB"/>
    <w:rsid w:val="008B6D06"/>
    <w:rsid w:val="008C4A02"/>
    <w:rsid w:val="008D10C7"/>
    <w:rsid w:val="009410EA"/>
    <w:rsid w:val="00971B4D"/>
    <w:rsid w:val="00983B99"/>
    <w:rsid w:val="009A0604"/>
    <w:rsid w:val="009B3B50"/>
    <w:rsid w:val="009F6411"/>
    <w:rsid w:val="00A0741A"/>
    <w:rsid w:val="00A07ABB"/>
    <w:rsid w:val="00A53F84"/>
    <w:rsid w:val="00A71F2B"/>
    <w:rsid w:val="00A857D4"/>
    <w:rsid w:val="00A90F82"/>
    <w:rsid w:val="00AB58F2"/>
    <w:rsid w:val="00AD58F2"/>
    <w:rsid w:val="00AE3700"/>
    <w:rsid w:val="00B160E2"/>
    <w:rsid w:val="00B51161"/>
    <w:rsid w:val="00B727A2"/>
    <w:rsid w:val="00B975B8"/>
    <w:rsid w:val="00B97B92"/>
    <w:rsid w:val="00BD7F1C"/>
    <w:rsid w:val="00BF7601"/>
    <w:rsid w:val="00C10B50"/>
    <w:rsid w:val="00C37A3D"/>
    <w:rsid w:val="00C46246"/>
    <w:rsid w:val="00C46FDC"/>
    <w:rsid w:val="00C57792"/>
    <w:rsid w:val="00C60029"/>
    <w:rsid w:val="00C6580E"/>
    <w:rsid w:val="00C80F4B"/>
    <w:rsid w:val="00CC7154"/>
    <w:rsid w:val="00CF3A06"/>
    <w:rsid w:val="00D00769"/>
    <w:rsid w:val="00D26A97"/>
    <w:rsid w:val="00D42DCA"/>
    <w:rsid w:val="00D4464B"/>
    <w:rsid w:val="00D7095D"/>
    <w:rsid w:val="00DB1958"/>
    <w:rsid w:val="00DD41A8"/>
    <w:rsid w:val="00DD764B"/>
    <w:rsid w:val="00DE47B6"/>
    <w:rsid w:val="00E12B63"/>
    <w:rsid w:val="00E20F49"/>
    <w:rsid w:val="00E64426"/>
    <w:rsid w:val="00E66E7E"/>
    <w:rsid w:val="00E71F0E"/>
    <w:rsid w:val="00E96B21"/>
    <w:rsid w:val="00EC56E4"/>
    <w:rsid w:val="00ED1379"/>
    <w:rsid w:val="00EF50C1"/>
    <w:rsid w:val="00F03937"/>
    <w:rsid w:val="00F053CA"/>
    <w:rsid w:val="00F11475"/>
    <w:rsid w:val="00F45A3A"/>
    <w:rsid w:val="00F5006D"/>
    <w:rsid w:val="00F52EA9"/>
    <w:rsid w:val="00F74F16"/>
    <w:rsid w:val="00FA7BE3"/>
    <w:rsid w:val="00FC73AB"/>
    <w:rsid w:val="00FD6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F79C7"/>
  <w15:chartTrackingRefBased/>
  <w15:docId w15:val="{3D9559FF-111A-F447-8FEE-E28C0647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PNormal">
    <w:name w:val="WP_Normal"/>
    <w:basedOn w:val="Normal"/>
    <w:rsid w:val="004F6187"/>
    <w:pPr>
      <w:widowControl w:val="0"/>
      <w:autoSpaceDE w:val="0"/>
      <w:autoSpaceDN w:val="0"/>
      <w:jc w:val="both"/>
    </w:pPr>
    <w:rPr>
      <w:rFonts w:ascii="New Century Schlbk" w:eastAsia="Times New Roman" w:hAnsi="New Century Schlbk" w:cs="Times New Roman"/>
      <w:color w:val="000000"/>
      <w:szCs w:val="20"/>
    </w:rPr>
  </w:style>
  <w:style w:type="paragraph" w:styleId="Header">
    <w:name w:val="header"/>
    <w:basedOn w:val="Normal"/>
    <w:link w:val="HeaderChar"/>
    <w:uiPriority w:val="99"/>
    <w:unhideWhenUsed/>
    <w:rsid w:val="008C4A02"/>
    <w:pPr>
      <w:tabs>
        <w:tab w:val="center" w:pos="4680"/>
        <w:tab w:val="right" w:pos="9360"/>
      </w:tabs>
    </w:pPr>
  </w:style>
  <w:style w:type="character" w:customStyle="1" w:styleId="HeaderChar">
    <w:name w:val="Header Char"/>
    <w:basedOn w:val="DefaultParagraphFont"/>
    <w:link w:val="Header"/>
    <w:uiPriority w:val="99"/>
    <w:rsid w:val="008C4A02"/>
  </w:style>
  <w:style w:type="paragraph" w:styleId="Footer">
    <w:name w:val="footer"/>
    <w:basedOn w:val="Normal"/>
    <w:link w:val="FooterChar"/>
    <w:uiPriority w:val="99"/>
    <w:unhideWhenUsed/>
    <w:rsid w:val="008C4A02"/>
    <w:pPr>
      <w:tabs>
        <w:tab w:val="center" w:pos="4680"/>
        <w:tab w:val="right" w:pos="9360"/>
      </w:tabs>
    </w:pPr>
  </w:style>
  <w:style w:type="character" w:customStyle="1" w:styleId="FooterChar">
    <w:name w:val="Footer Char"/>
    <w:basedOn w:val="DefaultParagraphFont"/>
    <w:link w:val="Footer"/>
    <w:uiPriority w:val="99"/>
    <w:rsid w:val="008C4A02"/>
  </w:style>
  <w:style w:type="table" w:styleId="TableGrid">
    <w:name w:val="Table Grid"/>
    <w:basedOn w:val="TableNormal"/>
    <w:uiPriority w:val="39"/>
    <w:rsid w:val="008C4A02"/>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80EAE"/>
    <w:pPr>
      <w:numPr>
        <w:numId w:val="7"/>
      </w:numPr>
    </w:pPr>
  </w:style>
  <w:style w:type="paragraph" w:styleId="BalloonText">
    <w:name w:val="Balloon Text"/>
    <w:basedOn w:val="Normal"/>
    <w:link w:val="BalloonTextChar"/>
    <w:uiPriority w:val="99"/>
    <w:semiHidden/>
    <w:unhideWhenUsed/>
    <w:rsid w:val="008339D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9D9"/>
    <w:rPr>
      <w:rFonts w:ascii="Segoe UI" w:hAnsi="Segoe UI" w:cs="Segoe UI"/>
      <w:sz w:val="18"/>
      <w:szCs w:val="18"/>
    </w:rPr>
  </w:style>
  <w:style w:type="paragraph" w:customStyle="1" w:styleId="Section">
    <w:name w:val="Section"/>
    <w:basedOn w:val="Normal"/>
    <w:link w:val="SectionChar"/>
    <w:rsid w:val="00AB58F2"/>
    <w:pPr>
      <w:keepNext/>
      <w:keepLines/>
      <w:tabs>
        <w:tab w:val="left" w:pos="0"/>
        <w:tab w:val="left" w:pos="180"/>
        <w:tab w:val="left" w:pos="36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120" w:line="240" w:lineRule="exact"/>
      <w:ind w:left="720" w:hanging="720"/>
      <w:outlineLvl w:val="2"/>
    </w:pPr>
    <w:rPr>
      <w:rFonts w:ascii="Times New Roman" w:eastAsia="Times New Roman" w:hAnsi="Times New Roman" w:cs="Times New Roman"/>
      <w:b/>
      <w:kern w:val="2"/>
      <w:sz w:val="20"/>
      <w:szCs w:val="20"/>
      <w:lang w:val="x-none" w:eastAsia="x-none"/>
    </w:rPr>
  </w:style>
  <w:style w:type="paragraph" w:customStyle="1" w:styleId="A">
    <w:name w:val="A."/>
    <w:basedOn w:val="Normal"/>
    <w:link w:val="AChar"/>
    <w:rsid w:val="00AB58F2"/>
    <w:pPr>
      <w:tabs>
        <w:tab w:val="left" w:pos="187"/>
        <w:tab w:val="left" w:pos="540"/>
        <w:tab w:val="left" w:pos="4500"/>
        <w:tab w:val="left" w:pos="4680"/>
        <w:tab w:val="left" w:pos="4860"/>
        <w:tab w:val="left" w:pos="5040"/>
        <w:tab w:val="left" w:pos="7200"/>
      </w:tabs>
      <w:spacing w:after="120"/>
      <w:ind w:firstLine="187"/>
      <w:jc w:val="both"/>
      <w:outlineLvl w:val="3"/>
    </w:pPr>
    <w:rPr>
      <w:rFonts w:ascii="Times New Roman" w:eastAsia="Times New Roman" w:hAnsi="Times New Roman" w:cs="Times New Roman"/>
      <w:kern w:val="2"/>
      <w:sz w:val="20"/>
      <w:szCs w:val="20"/>
      <w:lang w:val="x-none" w:eastAsia="x-none"/>
    </w:rPr>
  </w:style>
  <w:style w:type="paragraph" w:customStyle="1" w:styleId="1">
    <w:name w:val="1."/>
    <w:basedOn w:val="Normal"/>
    <w:link w:val="1Char"/>
    <w:rsid w:val="00AB58F2"/>
    <w:pPr>
      <w:tabs>
        <w:tab w:val="left" w:pos="720"/>
        <w:tab w:val="left" w:pos="979"/>
        <w:tab w:val="left" w:pos="1152"/>
        <w:tab w:val="left" w:pos="4500"/>
        <w:tab w:val="left" w:pos="4680"/>
        <w:tab w:val="left" w:pos="4860"/>
        <w:tab w:val="left" w:pos="5040"/>
        <w:tab w:val="left" w:pos="7200"/>
      </w:tabs>
      <w:spacing w:after="120"/>
      <w:ind w:firstLine="360"/>
      <w:jc w:val="both"/>
      <w:outlineLvl w:val="4"/>
    </w:pPr>
    <w:rPr>
      <w:rFonts w:ascii="Times New Roman" w:eastAsia="Times New Roman" w:hAnsi="Times New Roman" w:cs="Times New Roman"/>
      <w:kern w:val="2"/>
      <w:sz w:val="20"/>
      <w:szCs w:val="20"/>
      <w:lang w:val="x-none" w:eastAsia="x-none"/>
    </w:rPr>
  </w:style>
  <w:style w:type="paragraph" w:customStyle="1" w:styleId="a0">
    <w:name w:val="a."/>
    <w:basedOn w:val="Normal"/>
    <w:link w:val="aChar0"/>
    <w:qFormat/>
    <w:rsid w:val="00AB58F2"/>
    <w:pPr>
      <w:tabs>
        <w:tab w:val="left" w:pos="907"/>
        <w:tab w:val="left" w:pos="4500"/>
        <w:tab w:val="left" w:pos="4680"/>
        <w:tab w:val="left" w:pos="4860"/>
        <w:tab w:val="left" w:pos="5040"/>
        <w:tab w:val="left" w:pos="7200"/>
      </w:tabs>
      <w:spacing w:after="120"/>
      <w:ind w:firstLine="547"/>
      <w:jc w:val="both"/>
      <w:outlineLvl w:val="5"/>
    </w:pPr>
    <w:rPr>
      <w:rFonts w:ascii="Times New Roman" w:eastAsia="Times New Roman" w:hAnsi="Times New Roman" w:cs="Times New Roman"/>
      <w:kern w:val="2"/>
      <w:sz w:val="20"/>
      <w:szCs w:val="20"/>
      <w:lang w:val="x-none" w:eastAsia="x-none"/>
    </w:rPr>
  </w:style>
  <w:style w:type="paragraph" w:customStyle="1" w:styleId="AuthorityNote">
    <w:name w:val="Authority Note"/>
    <w:basedOn w:val="Normal"/>
    <w:link w:val="Authority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ind w:firstLine="187"/>
      <w:jc w:val="both"/>
    </w:pPr>
    <w:rPr>
      <w:rFonts w:ascii="Times New Roman" w:eastAsia="Times New Roman" w:hAnsi="Times New Roman" w:cs="Times New Roman"/>
      <w:kern w:val="2"/>
      <w:sz w:val="18"/>
      <w:szCs w:val="20"/>
      <w:lang w:val="x-none" w:eastAsia="x-none"/>
    </w:rPr>
  </w:style>
  <w:style w:type="paragraph" w:customStyle="1" w:styleId="HistoricalNote">
    <w:name w:val="Historical Note"/>
    <w:basedOn w:val="Normal"/>
    <w:link w:val="HistoricalNoteChar"/>
    <w:rsid w:val="00AB58F2"/>
    <w:pPr>
      <w:tabs>
        <w:tab w:val="left" w:pos="0"/>
        <w:tab w:val="left" w:pos="180"/>
        <w:tab w:val="left" w:pos="360"/>
        <w:tab w:val="left" w:pos="540"/>
        <w:tab w:val="left" w:pos="720"/>
        <w:tab w:val="left" w:pos="900"/>
        <w:tab w:val="left" w:pos="1080"/>
        <w:tab w:val="left" w:pos="1260"/>
        <w:tab w:val="left" w:pos="1440"/>
        <w:tab w:val="left" w:pos="1620"/>
        <w:tab w:val="left" w:pos="1800"/>
        <w:tab w:val="left" w:pos="19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left" w:pos="5220"/>
        <w:tab w:val="left" w:pos="5400"/>
        <w:tab w:val="left" w:pos="5580"/>
        <w:tab w:val="left" w:pos="5760"/>
        <w:tab w:val="left" w:pos="5940"/>
        <w:tab w:val="left" w:pos="6120"/>
        <w:tab w:val="left" w:pos="6300"/>
        <w:tab w:val="left" w:pos="6480"/>
        <w:tab w:val="left" w:pos="6660"/>
        <w:tab w:val="left" w:pos="6840"/>
        <w:tab w:val="left" w:pos="7020"/>
      </w:tabs>
      <w:spacing w:after="60"/>
      <w:ind w:firstLine="187"/>
      <w:jc w:val="both"/>
    </w:pPr>
    <w:rPr>
      <w:rFonts w:ascii="Times New Roman" w:eastAsia="Times New Roman" w:hAnsi="Times New Roman" w:cs="Times New Roman"/>
      <w:kern w:val="2"/>
      <w:sz w:val="18"/>
      <w:szCs w:val="20"/>
      <w:lang w:val="x-none" w:eastAsia="x-none"/>
    </w:rPr>
  </w:style>
  <w:style w:type="character" w:customStyle="1" w:styleId="HistoricalNoteChar">
    <w:name w:val="Historical Note Char"/>
    <w:link w:val="HistoricalNote"/>
    <w:rsid w:val="00AB58F2"/>
    <w:rPr>
      <w:rFonts w:ascii="Times New Roman" w:eastAsia="Times New Roman" w:hAnsi="Times New Roman" w:cs="Times New Roman"/>
      <w:kern w:val="2"/>
      <w:sz w:val="18"/>
      <w:szCs w:val="20"/>
      <w:lang w:val="x-none" w:eastAsia="x-none"/>
    </w:rPr>
  </w:style>
  <w:style w:type="character" w:customStyle="1" w:styleId="SectionChar">
    <w:name w:val="Section Char"/>
    <w:link w:val="Section"/>
    <w:rsid w:val="00AB58F2"/>
    <w:rPr>
      <w:rFonts w:ascii="Times New Roman" w:eastAsia="Times New Roman" w:hAnsi="Times New Roman" w:cs="Times New Roman"/>
      <w:b/>
      <w:kern w:val="2"/>
      <w:sz w:val="20"/>
      <w:szCs w:val="20"/>
      <w:lang w:val="x-none" w:eastAsia="x-none"/>
    </w:rPr>
  </w:style>
  <w:style w:type="character" w:customStyle="1" w:styleId="AChar">
    <w:name w:val="A. Char"/>
    <w:link w:val="A"/>
    <w:rsid w:val="00AB58F2"/>
    <w:rPr>
      <w:rFonts w:ascii="Times New Roman" w:eastAsia="Times New Roman" w:hAnsi="Times New Roman" w:cs="Times New Roman"/>
      <w:kern w:val="2"/>
      <w:sz w:val="20"/>
      <w:szCs w:val="20"/>
      <w:lang w:val="x-none" w:eastAsia="x-none"/>
    </w:rPr>
  </w:style>
  <w:style w:type="character" w:customStyle="1" w:styleId="1Char">
    <w:name w:val="1. Char"/>
    <w:link w:val="1"/>
    <w:rsid w:val="00AB58F2"/>
    <w:rPr>
      <w:rFonts w:ascii="Times New Roman" w:eastAsia="Times New Roman" w:hAnsi="Times New Roman" w:cs="Times New Roman"/>
      <w:kern w:val="2"/>
      <w:sz w:val="20"/>
      <w:szCs w:val="20"/>
      <w:lang w:val="x-none" w:eastAsia="x-none"/>
    </w:rPr>
  </w:style>
  <w:style w:type="character" w:customStyle="1" w:styleId="aChar0">
    <w:name w:val="a. Char"/>
    <w:link w:val="a0"/>
    <w:rsid w:val="00AB58F2"/>
    <w:rPr>
      <w:rFonts w:ascii="Times New Roman" w:eastAsia="Times New Roman" w:hAnsi="Times New Roman" w:cs="Times New Roman"/>
      <w:kern w:val="2"/>
      <w:sz w:val="20"/>
      <w:szCs w:val="20"/>
      <w:lang w:val="x-none" w:eastAsia="x-none"/>
    </w:rPr>
  </w:style>
  <w:style w:type="character" w:customStyle="1" w:styleId="AuthorityNoteChar">
    <w:name w:val="Authority Note Char"/>
    <w:link w:val="AuthorityNote"/>
    <w:locked/>
    <w:rsid w:val="00AB58F2"/>
    <w:rPr>
      <w:rFonts w:ascii="Times New Roman" w:eastAsia="Times New Roman" w:hAnsi="Times New Roman" w:cs="Times New Roman"/>
      <w:kern w:val="2"/>
      <w:sz w:val="18"/>
      <w:szCs w:val="20"/>
      <w:lang w:val="x-none" w:eastAsia="x-none"/>
    </w:rPr>
  </w:style>
  <w:style w:type="paragraph" w:styleId="Revision">
    <w:name w:val="Revision"/>
    <w:hidden/>
    <w:uiPriority w:val="99"/>
    <w:semiHidden/>
    <w:rsid w:val="00825ABC"/>
  </w:style>
  <w:style w:type="character" w:customStyle="1" w:styleId="TOC1">
    <w:name w:val="TOC1"/>
    <w:rsid w:val="00EF50C1"/>
    <w:rPr>
      <w:rFonts w:ascii="Arial" w:hAnsi="Arial"/>
      <w:b/>
      <w:kern w:val="2"/>
      <w:sz w:val="18"/>
    </w:rPr>
  </w:style>
  <w:style w:type="paragraph" w:styleId="NormalWeb">
    <w:name w:val="Normal (Web)"/>
    <w:basedOn w:val="Normal"/>
    <w:uiPriority w:val="99"/>
    <w:unhideWhenUsed/>
    <w:rsid w:val="00577041"/>
    <w:pPr>
      <w:spacing w:before="100" w:beforeAutospacing="1" w:after="100" w:afterAutospacing="1"/>
    </w:pPr>
    <w:rPr>
      <w:rFonts w:ascii="Times New Roman" w:eastAsia="Times New Roman" w:hAnsi="Times New Roman" w:cs="Times New Roman"/>
    </w:rPr>
  </w:style>
  <w:style w:type="character" w:customStyle="1" w:styleId="apple-tab-span">
    <w:name w:val="apple-tab-span"/>
    <w:rsid w:val="00577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FD215-26F4-42F0-B07B-BAC707DBF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Frugé</dc:creator>
  <cp:keywords/>
  <dc:description/>
  <cp:lastModifiedBy>Max Dupuy</cp:lastModifiedBy>
  <cp:revision>2</cp:revision>
  <cp:lastPrinted>2026-01-20T18:34:00Z</cp:lastPrinted>
  <dcterms:created xsi:type="dcterms:W3CDTF">2026-07-09T15:34:00Z</dcterms:created>
  <dcterms:modified xsi:type="dcterms:W3CDTF">2026-07-09T15:34:00Z</dcterms:modified>
</cp:coreProperties>
</file>